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color w:val="1E2761"/>
          <w:sz w:val="64"/>
        </w:rPr>
        <w:t>Data Strategy</w:t>
      </w:r>
    </w:p>
    <w:p>
      <w:r>
        <w:rPr>
          <w:rFonts w:ascii="Arial" w:hAnsi="Arial"/>
          <w:i/>
          <w:color w:val="595959"/>
          <w:sz w:val="28"/>
        </w:rPr>
        <w:t>ERP Programme — cross-lifecycle. Migration approach, ownership, cleansing, mock loads, reconciliation, governance.</w:t>
      </w:r>
    </w:p>
    <w:p>
      <w:pPr>
        <w:pBdr>
          <w:bottom w:val="single" w:sz="18" w:color="1E2761" w:space="1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Document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Data Strategy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Version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v1.0 (TEMPLATE)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Date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April 2026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Owner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Business Architect (with Data Migration Lead from S10)</w:t>
            </w:r>
            <w:r>
              <w:rPr>
                <w:rFonts w:ascii="Arial" w:hAnsi="Arial"/>
                <w:sz w:val="22"/>
              </w:rPr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Classification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Programme Use</w:t>
            </w:r>
          </w:p>
        </w:tc>
      </w:tr>
    </w:tbl>
    <w:p>
      <w:r>
        <w:br w:type="page"/>
      </w:r>
    </w:p>
    <w:p>
      <w:pPr>
        <w:pStyle w:val="Heading1"/>
      </w:pPr>
      <w:r>
        <w:t>1. Purpose</w:t>
      </w:r>
    </w:p>
    <w:p>
      <w:r>
        <w:rPr>
          <w:rFonts w:ascii="Arial" w:hAnsi="Arial"/>
          <w:b w:val="0"/>
          <w:i w:val="0"/>
          <w:sz w:val="22"/>
        </w:rPr>
        <w:t>Establishes how data is treated across the ERP programme: master data scope, ownership, cleansing, migration, reconciliation, archiving and ongoing governance. Owned by the Business Architect through Pre-Programme; co-owned with the SI Data Migration Lead from Programme Setup &amp; Mobilisation (S10) through cutover.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DCE6F1"/>
            <w:tcBorders>
              <w:top w:val="single" w:sz="8" w:color="2E75B6"/>
              <w:left w:val="single" w:sz="8" w:color="2E75B6"/>
              <w:bottom w:val="single" w:sz="8" w:color="2E75B6"/>
              <w:right w:val="single" w:sz="8" w:color="2E75B6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Most-common cause of go-live delay</w:t>
            </w:r>
          </w:p>
          <w:p>
            <w:r>
              <w:rPr>
                <w:rFonts w:ascii="Arial" w:hAnsi="Arial"/>
                <w:sz w:val="21"/>
              </w:rPr>
              <w:t>Data quality. The single best predictor of go-live slip is a mock load that surfaces data quality issues you didn't already know about. Get to mock load 1 early, treat it as a quality assessment (not a load test), and resource cleansing accordingly.</w:t>
            </w:r>
          </w:p>
        </w:tc>
      </w:tr>
    </w:tbl>
    <w:p/>
    <w:p>
      <w:pPr>
        <w:pStyle w:val="Heading1"/>
      </w:pPr>
      <w:r>
        <w:t>2. Data scope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Data domain</w:t>
            </w:r>
          </w:p>
        </w:tc>
        <w:tc>
          <w:tcPr>
            <w:tcW w:type="dxa" w:w="1417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Type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In scope?</w:t>
            </w:r>
          </w:p>
        </w:tc>
        <w:tc>
          <w:tcPr>
            <w:tcW w:type="dxa" w:w="1984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Source system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Chart of Accounts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Master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 — redesigned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Group Finance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Group FC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Customers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Master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Legacy ERP + CRM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Commercial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Suppliers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Master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Legacy ERP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Procurement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Items / SKUs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Master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Legacy ERP + PIM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Supply Chain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Bills of materials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Master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Phase 2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MES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Operations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GL open balances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Transactional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 (open period)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Legacy ERP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Group FC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Open AR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Transactional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 (last 24 months)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Legacy ERP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AR Manager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Open AP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Transactional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 (last 24 months)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Legacy ERP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Manager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Open POs / SOs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Transactional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 (open only)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Legacy ERP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Procurement / Commercial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Inventory balances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Transactional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 (count at T-1)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Legacy ERP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Supply Chain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Historical transactions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Transactional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Archive only — read-only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Legacy ERP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IT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Employees / payroll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Master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No (HR remains in [system X])</w:t>
            </w:r>
          </w:p>
        </w:tc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HR system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HR</w:t>
            </w:r>
          </w:p>
        </w:tc>
      </w:tr>
    </w:tbl>
    <w:p/>
    <w:p>
      <w:pPr>
        <w:pStyle w:val="Heading1"/>
      </w:pPr>
      <w:r>
        <w:t>3. Data ownership</w:t>
      </w:r>
    </w:p>
    <w:p>
      <w:r>
        <w:rPr>
          <w:rFonts w:ascii="Arial" w:hAnsi="Arial"/>
          <w:b w:val="0"/>
          <w:i w:val="0"/>
          <w:sz w:val="22"/>
        </w:rPr>
        <w:t>Each in-scope data domain has a named business Data Owner, accountable for: scope, quality rules, cleansing decisions, sign-off at each mock load, and post-go-live stewardship.</w:t>
      </w:r>
    </w:p>
    <w:p>
      <w:r>
        <w:rPr>
          <w:rFonts w:ascii="Arial" w:hAnsi="Arial"/>
          <w:b w:val="0"/>
          <w:i w:val="0"/>
          <w:sz w:val="22"/>
        </w:rPr>
        <w:t>The Business Architect coordinates Data Owners. The SI Data Migration Lead executes the technical migration; the Data Owner owns the content.</w:t>
      </w:r>
    </w:p>
    <w:p>
      <w:pPr>
        <w:pStyle w:val="Heading1"/>
      </w:pPr>
      <w:r>
        <w:t>4. Cleansing approach</w:t>
      </w:r>
    </w:p>
    <w:p>
      <w:r>
        <w:rPr>
          <w:rFonts w:ascii="Arial" w:hAnsi="Arial"/>
          <w:b w:val="0"/>
          <w:i w:val="0"/>
          <w:sz w:val="22"/>
        </w:rPr>
        <w:t>Data cleansing operates in three modes:</w:t>
      </w:r>
    </w:p>
    <w:p>
      <w:pPr>
        <w:pStyle w:val="ListBullet"/>
      </w:pPr>
      <w:r>
        <w:rPr>
          <w:rFonts w:ascii="Arial" w:hAnsi="Arial"/>
          <w:sz w:val="22"/>
        </w:rPr>
        <w:t>Cleanse-in-source: preferred. Cleansing happens in the legacy system so the source-of-truth improves and the migration is a copy, not a transformation</w:t>
      </w:r>
    </w:p>
    <w:p>
      <w:pPr>
        <w:pStyle w:val="ListBullet"/>
      </w:pPr>
      <w:r>
        <w:rPr>
          <w:rFonts w:ascii="Arial" w:hAnsi="Arial"/>
          <w:sz w:val="22"/>
        </w:rPr>
        <w:t>Cleanse-in-flight: ETL transformations during migration. Acceptable for one-off mappings (e.g. Chart of Accounts redesign) but adds reconciliation complexity</w:t>
      </w:r>
    </w:p>
    <w:p>
      <w:pPr>
        <w:pStyle w:val="ListBullet"/>
      </w:pPr>
      <w:r>
        <w:rPr>
          <w:rFonts w:ascii="Arial" w:hAnsi="Arial"/>
          <w:sz w:val="22"/>
        </w:rPr>
        <w:t>Cleanse-in-target: a structured fix-up after load. Reserved for low-risk attributes; needs explicit sign-off because it bypasses normal data ownership</w:t>
      </w:r>
    </w:p>
    <w:p>
      <w:r>
        <w:rPr>
          <w:rFonts w:ascii="Arial" w:hAnsi="Arial"/>
          <w:b w:val="0"/>
          <w:i w:val="0"/>
          <w:sz w:val="22"/>
        </w:rPr>
        <w:t>A dedicated cleansing pod (typically 2 FTE for 8–12 weeks pre-migration) is staffed for the highest-volume, lowest-quality domains identified in mock load 1.</w:t>
      </w:r>
    </w:p>
    <w:p>
      <w:pPr>
        <w:pStyle w:val="Heading1"/>
      </w:pPr>
      <w:r>
        <w:t>5. Mock loads</w:t>
      </w:r>
    </w:p>
    <w:p>
      <w:r>
        <w:rPr>
          <w:rFonts w:ascii="Arial" w:hAnsi="Arial"/>
          <w:b w:val="0"/>
          <w:i w:val="0"/>
          <w:sz w:val="22"/>
        </w:rPr>
        <w:t>Three mock loads minimum, spaced through Stages 13–14: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Mock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When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Primary purpose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Exit criterion</w:t>
            </w:r>
          </w:p>
        </w:tc>
      </w:tr>
      <w:tr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Mock Load 1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Build &amp; Configuration (S13) mid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Quality assessment — surface data issues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Issue list captured; cleansing plan signed off</w:t>
            </w:r>
          </w:p>
        </w:tc>
      </w:tr>
      <w:tr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Mock Load 2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Testing (S14) entry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Functional rehearsal — supports SIT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Functional reconciliation passes; SIT can use the data</w:t>
            </w:r>
          </w:p>
        </w:tc>
      </w:tr>
      <w:tr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Mock Load 3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S14 late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Performance + cutover rehearsal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Load completes within cutover window; reconciliation passes</w:t>
            </w:r>
          </w:p>
        </w:tc>
      </w:tr>
    </w:tbl>
    <w:p/>
    <w:p>
      <w:r>
        <w:rPr>
          <w:rFonts w:ascii="Arial" w:hAnsi="Arial"/>
          <w:b w:val="0"/>
          <w:i w:val="0"/>
          <w:sz w:val="22"/>
        </w:rPr>
        <w:t>Each mock load is followed by a Data Owner sign-off meeting. A failed mock load 3 is a Gate 2 stop condition — the Solution Design &amp; Full Business Case (S12) FBC explicitly assumes data readiness at confirmed variance.</w:t>
      </w:r>
    </w:p>
    <w:p>
      <w:pPr>
        <w:pStyle w:val="Heading1"/>
      </w:pPr>
      <w:r>
        <w:t>6. Reconciliation</w:t>
      </w:r>
    </w:p>
    <w:p>
      <w:r>
        <w:rPr>
          <w:rFonts w:ascii="Arial" w:hAnsi="Arial"/>
          <w:b w:val="0"/>
          <w:i w:val="0"/>
          <w:sz w:val="22"/>
        </w:rPr>
        <w:t>Reconciliation is the 'data is correct' check. Three axes:</w:t>
      </w:r>
    </w:p>
    <w:p>
      <w:pPr>
        <w:pStyle w:val="ListBullet"/>
      </w:pPr>
      <w:r>
        <w:rPr>
          <w:rFonts w:ascii="Arial" w:hAnsi="Arial"/>
          <w:sz w:val="22"/>
        </w:rPr>
        <w:t>Row count — every record extracted is loaded (or rejected with a documented reason)</w:t>
      </w:r>
    </w:p>
    <w:p>
      <w:pPr>
        <w:pStyle w:val="ListBullet"/>
      </w:pPr>
      <w:r>
        <w:rPr>
          <w:rFonts w:ascii="Arial" w:hAnsi="Arial"/>
          <w:sz w:val="22"/>
        </w:rPr>
        <w:t>Sum / control total — financial values match to a defined tolerance (typically ±0.5%)</w:t>
      </w:r>
    </w:p>
    <w:p>
      <w:pPr>
        <w:pStyle w:val="ListBullet"/>
      </w:pPr>
      <w:r>
        <w:rPr>
          <w:rFonts w:ascii="Arial" w:hAnsi="Arial"/>
          <w:sz w:val="22"/>
        </w:rPr>
        <w:t>Functional walkthrough — sample of records walked through end-to-end by the Data Owner</w:t>
      </w:r>
    </w:p>
    <w:p>
      <w:r>
        <w:rPr>
          <w:rFonts w:ascii="Arial" w:hAnsi="Arial"/>
          <w:b w:val="0"/>
          <w:i w:val="0"/>
          <w:sz w:val="22"/>
        </w:rPr>
        <w:t>Reconciliation reports are produced automatically by the SI's migration tooling (typically in Power BI or equivalent). Variances above tolerance halt the load until investigated.</w:t>
      </w:r>
    </w:p>
    <w:p>
      <w:pPr>
        <w:pStyle w:val="Heading1"/>
      </w:pPr>
      <w:r>
        <w:t>7. Cutover data activities</w:t>
      </w:r>
    </w:p>
    <w:p>
      <w:r>
        <w:rPr>
          <w:rFonts w:ascii="Arial" w:hAnsi="Arial"/>
          <w:b w:val="0"/>
          <w:i w:val="0"/>
          <w:sz w:val="22"/>
        </w:rPr>
        <w:t>Master data freezes at T-5 in the legacy ERP. Final delta extracts run T-1 through T0. Open-balance loads are the longest single activity in the cutover runbook (typically 6 hours). See the Cutover Plan workbook for sequenced detail.</w:t>
      </w:r>
    </w:p>
    <w:p>
      <w:pPr>
        <w:pStyle w:val="Heading1"/>
      </w:pPr>
      <w:r>
        <w:t>8. Archiving &amp; access to history</w:t>
      </w:r>
    </w:p>
    <w:p>
      <w:r>
        <w:rPr>
          <w:rFonts w:ascii="Arial" w:hAnsi="Arial"/>
          <w:b w:val="0"/>
          <w:i w:val="0"/>
          <w:sz w:val="22"/>
        </w:rPr>
        <w:t>Historical transactions remain read-only in the legacy ERP for [N] months post go-live, after which they are archived to a long-term store. Users access history through a reporting view, not by querying the new ERP. This is a deliberate scope decision — migrating closed history into the new system multiplies migration effort with little business value.</w:t>
      </w:r>
    </w:p>
    <w:p>
      <w:pPr>
        <w:pStyle w:val="Heading1"/>
      </w:pPr>
      <w:r>
        <w:t>9. Governance after go-live</w:t>
      </w:r>
    </w:p>
    <w:p>
      <w:r>
        <w:rPr>
          <w:rFonts w:ascii="Arial" w:hAnsi="Arial"/>
          <w:b w:val="0"/>
          <w:i w:val="0"/>
          <w:sz w:val="22"/>
        </w:rPr>
        <w:t>From Hypercare &amp; Stabilisation (S17) onwards, data ownership transitions from the programme to BAU:</w:t>
      </w:r>
    </w:p>
    <w:p>
      <w:pPr>
        <w:pStyle w:val="ListBullet"/>
      </w:pPr>
      <w:r>
        <w:rPr>
          <w:rFonts w:ascii="Arial" w:hAnsi="Arial"/>
          <w:sz w:val="22"/>
        </w:rPr>
        <w:t>Master data create / change goes through a workflow with the named Data Owner approving</w:t>
      </w:r>
    </w:p>
    <w:p>
      <w:pPr>
        <w:pStyle w:val="ListBullet"/>
      </w:pPr>
      <w:r>
        <w:rPr>
          <w:rFonts w:ascii="Arial" w:hAnsi="Arial"/>
          <w:sz w:val="22"/>
        </w:rPr>
        <w:t>Data quality KPIs are reported monthly to the operations forum</w:t>
      </w:r>
    </w:p>
    <w:p>
      <w:pPr>
        <w:pStyle w:val="ListBullet"/>
      </w:pPr>
      <w:r>
        <w:rPr>
          <w:rFonts w:ascii="Arial" w:hAnsi="Arial"/>
          <w:sz w:val="22"/>
        </w:rPr>
        <w:t>A Data Quality Council (Process Owners + IT) meets quarterly to triage emerging issues</w:t>
      </w:r>
    </w:p>
    <w:p>
      <w:pPr>
        <w:pStyle w:val="ListBullet"/>
      </w:pPr>
      <w:r>
        <w:rPr>
          <w:rFonts w:ascii="Arial" w:hAnsi="Arial"/>
          <w:sz w:val="22"/>
        </w:rPr>
        <w:t>Annual review of master data scope and cleansing rules at the optimisation forum (Optimisation &amp; Maturity (S19))</w:t>
      </w:r>
    </w:p>
    <w:p>
      <w:pPr>
        <w:pStyle w:val="Heading1"/>
      </w:pPr>
      <w:r>
        <w:t>10. Risks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969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Risk</w:t>
            </w:r>
          </w:p>
        </w:tc>
        <w:tc>
          <w:tcPr>
            <w:tcW w:type="dxa" w:w="45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Mock load 1 surfaces material data quality issues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Resource cleansing pod ahead of mock load 1 — do not wait for the result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Reconciliation fails on open balances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Run reconciliation against legacy in parallel for 60 days post go-live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Data Owners not named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Block Discovery (S11) entry until named individuals confirmed</w:t>
            </w:r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Source ERP API limits hit during cutover delta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Load-test extracts at peak rate before mock load 3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Cleanse-in-flight transformation breaks audit trail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Document every transformation; SOX evidence pack signed off by Group Audit</w:t>
            </w:r>
          </w:p>
        </w:tc>
      </w:tr>
    </w:tbl>
    <w:p/>
    <w:sectPr w:rsidR="00FC693F" w:rsidRPr="0006063C" w:rsidSect="00034616">
      <w:headerReference w:type="default" r:id="rId9"/>
      <w:headerReference w:type="first" r:id="rId10"/>
      <w:headerReference w:type="even" r:id="rId11"/>
      <w:footerReference w:type="default" r:id="rId12"/>
      <w:footerReference w:type="first" r:id="rId13"/>
      <w:footerReference w:type="even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E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E276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Arial" w:hAnsi="Arial"/>
      <w:b/>
      <w:bCs/>
      <w:color w:val="1E276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80" w:after="120"/>
      <w:outlineLvl w:val="3"/>
    </w:pPr>
    <w:rPr>
      <w:rFonts w:asciiTheme="majorHAnsi" w:eastAsiaTheme="majorEastAsia" w:hAnsiTheme="majorHAnsi" w:cstheme="majorBidi" w:ascii="Arial" w:hAnsi="Arial"/>
      <w:b/>
      <w:bCs/>
      <w:i/>
      <w:iCs/>
      <w:color w:val="1E276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E276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