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Defect Management Plan</w:t>
      </w:r>
    </w:p>
    <w:p>
      <w:r>
        <w:rPr>
          <w:i/>
          <w:color w:val="555555"/>
          <w:sz w:val="22"/>
        </w:rPr>
        <w:t>Stages 14–17 · Testing through Hypercare &amp; Stabilisation · Operational defect process</w:t>
      </w:r>
    </w:p>
    <w:tbl>
      <w:tblPr>
        <w:tblStyle w:val="TableGrid"/>
        <w:tblW w:type="auto" w:w="0"/>
        <w:tblLook w:firstColumn="1" w:firstRow="1" w:lastColumn="0" w:lastRow="0" w:noHBand="0" w:noVBand="1" w:val="04A0"/>
      </w:tblPr>
      <w:tblGrid>
        <w:gridCol w:w="4873"/>
        <w:gridCol w:w="4873"/>
      </w:tblGrid>
      <w:tr>
        <w:tc>
          <w:tcPr>
            <w:tcW w:type="dxa" w:w="4873"/>
          </w:tcPr>
          <w:p>
            <w:r>
              <w:rPr>
                <w:b/>
              </w:rPr>
              <w:t>Document</w:t>
            </w:r>
          </w:p>
        </w:tc>
        <w:tc>
          <w:tcPr>
            <w:tcW w:type="dxa" w:w="4873"/>
          </w:tcPr>
          <w:p>
            <w:r>
              <w:t>Defect Management Plan</w:t>
            </w:r>
          </w:p>
        </w:tc>
      </w:tr>
      <w:tr>
        <w:tc>
          <w:tcPr>
            <w:tcW w:type="dxa" w:w="4873"/>
          </w:tcPr>
          <w:p>
            <w:r>
              <w:rPr>
                <w:b/>
              </w:rPr>
              <w:t>Version</w:t>
            </w:r>
          </w:p>
        </w:tc>
        <w:tc>
          <w:tcPr>
            <w:tcW w:type="dxa" w:w="4873"/>
          </w:tcPr>
          <w:p>
            <w:r>
              <w:t>v1.1 (TEMPLATE)</w:t>
            </w:r>
          </w:p>
        </w:tc>
      </w:tr>
      <w:tr>
        <w:tc>
          <w:tcPr>
            <w:tcW w:type="dxa" w:w="4873"/>
          </w:tcPr>
          <w:p>
            <w:r>
              <w:rPr>
                <w:b/>
              </w:rPr>
              <w:t>Date</w:t>
            </w:r>
          </w:p>
        </w:tc>
        <w:tc>
          <w:tcPr>
            <w:tcW w:type="dxa" w:w="4873"/>
          </w:tcPr>
          <w:p>
            <w:r>
              <w:t>May 2026</w:t>
            </w:r>
          </w:p>
        </w:tc>
      </w:tr>
      <w:tr>
        <w:tc>
          <w:tcPr>
            <w:tcW w:type="dxa" w:w="4873"/>
          </w:tcPr>
          <w:p>
            <w:r>
              <w:rPr>
                <w:b/>
              </w:rPr>
              <w:t>Owner</w:t>
            </w:r>
          </w:p>
        </w:tc>
        <w:tc>
          <w:tcPr>
            <w:tcW w:type="dxa" w:w="4873"/>
          </w:tcPr>
          <w:p>
            <w:r>
              <w:t>Defect Manager (Client side); co-authored with Client Test Manager</w:t>
            </w:r>
          </w:p>
        </w:tc>
      </w:tr>
      <w:tr>
        <w:tc>
          <w:tcPr>
            <w:tcW w:type="dxa" w:w="4873"/>
          </w:tcPr>
          <w:p>
            <w:r>
              <w:rPr>
                <w:b/>
              </w:rPr>
              <w:t>Classification</w:t>
            </w:r>
          </w:p>
        </w:tc>
        <w:tc>
          <w:tcPr>
            <w:tcW w:type="dxa" w:w="4873"/>
          </w:tcPr>
          <w:p>
            <w:r>
              <w:t>Programme Use</w:t>
            </w:r>
          </w:p>
        </w:tc>
      </w:tr>
    </w:tbl>
    <w:p/>
    <w:p>
      <w:pPr>
        <w:pStyle w:val="Heading1"/>
      </w:pPr>
      <w:r>
        <w:t>1. Purpose</w:t>
      </w:r>
    </w:p>
    <w:p>
      <w:r>
        <w:t>This plan defines the operational defect process across the Keystone test pipeline. It applies from start of Testing (S14) through end of Hypercare &amp; Stabilisation (S17), with a light prep period from Discovery (S11) onwards. The Defect Manager (Client side) owns this plan; the Client Test Manager co-authors it.</w:t>
      </w:r>
    </w:p>
    <w:p>
      <w:pPr>
        <w:pStyle w:val="Heading1"/>
      </w:pPr>
      <w:r>
        <w:t>2. Roles in the defect process</w:t>
      </w:r>
    </w:p>
    <w:p>
      <w:r>
        <w:t>Keystone names a dedicated Defect Manager (Client side) on medium and large programmes — see canonical scaling rule:</w:t>
      </w:r>
    </w:p>
    <w:tbl>
      <w:tblPr>
        <w:tblStyle w:val="TableGrid"/>
        <w:tblW w:type="auto" w:w="0"/>
        <w:tblLook w:firstColumn="1" w:firstRow="1" w:lastColumn="0" w:lastRow="0" w:noHBand="0" w:noVBand="1" w:val="04A0"/>
      </w:tblPr>
      <w:tblGrid>
        <w:gridCol w:w="4873"/>
        <w:gridCol w:w="4873"/>
      </w:tblGrid>
      <w:tr>
        <w:tc>
          <w:tcPr>
            <w:tcW w:type="dxa" w:w="4873"/>
          </w:tcPr>
          <w:p>
            <w:r>
              <w:rPr>
                <w:b/>
              </w:rPr>
              <w:t>Programme size</w:t>
            </w:r>
          </w:p>
        </w:tc>
        <w:tc>
          <w:tcPr>
            <w:tcW w:type="dxa" w:w="4873"/>
          </w:tcPr>
          <w:p>
            <w:r>
              <w:rPr>
                <w:b/>
              </w:rPr>
              <w:t>Defect Manager staffing</w:t>
            </w:r>
          </w:p>
        </w:tc>
      </w:tr>
      <w:tr>
        <w:tc>
          <w:tcPr>
            <w:tcW w:type="dxa" w:w="4873"/>
          </w:tcPr>
          <w:p>
            <w:r>
              <w:t>Small (&lt;100 users)</w:t>
            </w:r>
          </w:p>
        </w:tc>
        <w:tc>
          <w:tcPr>
            <w:tcW w:type="dxa" w:w="4873"/>
          </w:tcPr>
          <w:p>
            <w:r>
              <w:t>Client Test Manager absorbs the role. Defect volumes low enough that this works without compromising either responsibility.</w:t>
            </w:r>
          </w:p>
        </w:tc>
      </w:tr>
      <w:tr>
        <w:tc>
          <w:tcPr>
            <w:tcW w:type="dxa" w:w="4873"/>
          </w:tcPr>
          <w:p>
            <w:r>
              <w:t>Medium (100–1,000 users)</w:t>
            </w:r>
          </w:p>
        </w:tc>
        <w:tc>
          <w:tcPr>
            <w:tcW w:type="dxa" w:w="4873"/>
          </w:tcPr>
          <w:p>
            <w:r>
              <w:t>3 days/week from start of S14, ramping to 5 days/week from start of UAT through go-live and into S17. During test phases, defect-management work takes precedence.</w:t>
            </w:r>
          </w:p>
        </w:tc>
      </w:tr>
      <w:tr>
        <w:tc>
          <w:tcPr>
            <w:tcW w:type="dxa" w:w="4873"/>
          </w:tcPr>
          <w:p>
            <w:r>
              <w:t>Large (1,000+ users)</w:t>
            </w:r>
          </w:p>
        </w:tc>
        <w:tc>
          <w:tcPr>
            <w:tcW w:type="dxa" w:w="4873"/>
          </w:tcPr>
          <w:p>
            <w:r>
              <w:t>Named, full-time role from start of S14.</w:t>
            </w:r>
          </w:p>
        </w:tc>
      </w:tr>
    </w:tbl>
    <w:p/>
    <w:p>
      <w:pPr>
        <w:pStyle w:val="Heading2"/>
      </w:pPr>
      <w:r>
        <w:t>Other roles in the defect process</w:t>
      </w:r>
    </w:p>
    <w:p>
      <w:r>
        <w:rPr>
          <w:i w:val="0"/>
        </w:rPr>
        <w:t>Client Test Manager — overall test programme accountability; escalation point for ageing defects.</w:t>
      </w:r>
    </w:p>
    <w:p>
      <w:r>
        <w:rPr>
          <w:i w:val="0"/>
        </w:rPr>
        <w:t>SI Test Lead — owns triage from the SI side; chases SI workstream fixes.</w:t>
      </w:r>
    </w:p>
    <w:p>
      <w:r>
        <w:rPr>
          <w:i w:val="0"/>
        </w:rPr>
        <w:t>SI Functional Leads / SI Technical Lead — resolve functional and technical defects within their workstream.</w:t>
      </w:r>
    </w:p>
    <w:p>
      <w:r>
        <w:rPr>
          <w:i w:val="0"/>
        </w:rPr>
        <w:t>Process Owners — accept FAT at Sprint Review; review UAT defects from their workstream's processes.</w:t>
      </w:r>
    </w:p>
    <w:p>
      <w:r>
        <w:rPr>
          <w:i w:val="0"/>
        </w:rPr>
        <w:t>Programme Manager — receives escalation for P1 ageing &gt;48 hrs and any defect threatening go-live readiness.</w:t>
      </w:r>
    </w:p>
    <w:p>
      <w:pPr>
        <w:pStyle w:val="Heading1"/>
      </w:pPr>
      <w:r>
        <w:t>3. Severity definitions (P1–P4)</w:t>
      </w:r>
    </w:p>
    <w:p>
      <w:r>
        <w:t>Severity is calibrated by the Defect Manager at triage. The definitions below are the canonical baseline; tailor at the start-of-Testing readiness session if specific programme context warrants.</w:t>
      </w:r>
    </w:p>
    <w:tbl>
      <w:tblPr>
        <w:tblStyle w:val="TableGrid"/>
        <w:tblW w:type="auto" w:w="0"/>
        <w:tblLook w:firstColumn="1" w:firstRow="1" w:lastColumn="0" w:lastRow="0" w:noHBand="0" w:noVBand="1" w:val="04A0"/>
      </w:tblPr>
      <w:tblGrid>
        <w:gridCol w:w="2436"/>
        <w:gridCol w:w="2436"/>
        <w:gridCol w:w="2436"/>
        <w:gridCol w:w="2436"/>
      </w:tblGrid>
      <w:tr>
        <w:tc>
          <w:tcPr>
            <w:tcW w:type="dxa" w:w="2436"/>
          </w:tcPr>
          <w:p>
            <w:r>
              <w:rPr>
                <w:b/>
              </w:rPr>
              <w:t>Severity</w:t>
            </w:r>
          </w:p>
        </w:tc>
        <w:tc>
          <w:tcPr>
            <w:tcW w:type="dxa" w:w="2436"/>
          </w:tcPr>
          <w:p>
            <w:r>
              <w:rPr>
                <w:b/>
              </w:rPr>
              <w:t>Definition</w:t>
            </w:r>
          </w:p>
        </w:tc>
        <w:tc>
          <w:tcPr>
            <w:tcW w:type="dxa" w:w="2436"/>
          </w:tcPr>
          <w:p>
            <w:r>
              <w:rPr>
                <w:b/>
              </w:rPr>
              <w:t>Target fix</w:t>
            </w:r>
          </w:p>
        </w:tc>
        <w:tc>
          <w:tcPr>
            <w:tcW w:type="dxa" w:w="2436"/>
          </w:tcPr>
          <w:p>
            <w:r>
              <w:rPr>
                <w:b/>
              </w:rPr>
              <w:t>Go-live tolerance</w:t>
            </w:r>
          </w:p>
        </w:tc>
      </w:tr>
      <w:tr>
        <w:tc>
          <w:tcPr>
            <w:tcW w:type="dxa" w:w="2436"/>
          </w:tcPr>
          <w:p>
            <w:r>
              <w:t>P1</w:t>
            </w:r>
          </w:p>
        </w:tc>
        <w:tc>
          <w:tcPr>
            <w:tcW w:type="dxa" w:w="2436"/>
          </w:tcPr>
          <w:p>
            <w:r>
              <w:t>Showstopper — no workaround, blocks testing or critical business function.</w:t>
            </w:r>
          </w:p>
        </w:tc>
        <w:tc>
          <w:tcPr>
            <w:tcW w:type="dxa" w:w="2436"/>
          </w:tcPr>
          <w:p>
            <w:r>
              <w:t>24 hrs</w:t>
            </w:r>
          </w:p>
        </w:tc>
        <w:tc>
          <w:tcPr>
            <w:tcW w:type="dxa" w:w="2436"/>
          </w:tcPr>
          <w:p>
            <w:r>
              <w:t>Zero open. Binary.</w:t>
            </w:r>
          </w:p>
        </w:tc>
      </w:tr>
      <w:tr>
        <w:tc>
          <w:tcPr>
            <w:tcW w:type="dxa" w:w="2436"/>
          </w:tcPr>
          <w:p>
            <w:r>
              <w:t>P2</w:t>
            </w:r>
          </w:p>
        </w:tc>
        <w:tc>
          <w:tcPr>
            <w:tcW w:type="dxa" w:w="2436"/>
          </w:tcPr>
          <w:p>
            <w:r>
              <w:t>Major — blocks part of testing or impairs a critical scenario.</w:t>
            </w:r>
          </w:p>
        </w:tc>
        <w:tc>
          <w:tcPr>
            <w:tcW w:type="dxa" w:w="2436"/>
          </w:tcPr>
          <w:p>
            <w:r>
              <w:t>5 working days</w:t>
            </w:r>
          </w:p>
        </w:tc>
        <w:tc>
          <w:tcPr>
            <w:tcW w:type="dxa" w:w="2436"/>
          </w:tcPr>
          <w:p>
            <w:r>
              <w:t>Zero open unless a workaround is agreed by Design Authority AND the relevant Process Owner, AND recorded in the Test Exit Report.</w:t>
            </w:r>
          </w:p>
        </w:tc>
      </w:tr>
      <w:tr>
        <w:tc>
          <w:tcPr>
            <w:tcW w:type="dxa" w:w="2436"/>
          </w:tcPr>
          <w:p>
            <w:r>
              <w:t>P3</w:t>
            </w:r>
          </w:p>
        </w:tc>
        <w:tc>
          <w:tcPr>
            <w:tcW w:type="dxa" w:w="2436"/>
          </w:tcPr>
          <w:p>
            <w:r>
              <w:t>Minor — has workaround. Inconvenience but not blocking.</w:t>
            </w:r>
          </w:p>
        </w:tc>
        <w:tc>
          <w:tcPr>
            <w:tcW w:type="dxa" w:w="2436"/>
          </w:tcPr>
          <w:p>
            <w:r>
              <w:t>Sprint of identification (during S13/S14); post-go-live (after S16)</w:t>
            </w:r>
          </w:p>
        </w:tc>
        <w:tc>
          <w:tcPr>
            <w:tcW w:type="dxa" w:w="2436"/>
          </w:tcPr>
          <w:p>
            <w:r>
              <w:t>Within published ceiling (typically ≤10), with post-go-live fix plan.</w:t>
            </w:r>
          </w:p>
        </w:tc>
      </w:tr>
      <w:tr>
        <w:tc>
          <w:tcPr>
            <w:tcW w:type="dxa" w:w="2436"/>
          </w:tcPr>
          <w:p>
            <w:r>
              <w:t>P4</w:t>
            </w:r>
          </w:p>
        </w:tc>
        <w:tc>
          <w:tcPr>
            <w:tcW w:type="dxa" w:w="2436"/>
          </w:tcPr>
          <w:p>
            <w:r>
              <w:t>Cosmetic / nice-to-have. Typos, alignment, label inconsistencies.</w:t>
            </w:r>
          </w:p>
        </w:tc>
        <w:tc>
          <w:tcPr>
            <w:tcW w:type="dxa" w:w="2436"/>
          </w:tcPr>
          <w:p>
            <w:r>
              <w:t>Backlog</w:t>
            </w:r>
          </w:p>
        </w:tc>
        <w:tc>
          <w:tcPr>
            <w:tcW w:type="dxa" w:w="2436"/>
          </w:tcPr>
          <w:p>
            <w:r>
              <w:t>Within published ceiling (typically ≤15), in backlog.</w:t>
            </w:r>
          </w:p>
        </w:tc>
      </w:tr>
    </w:tbl>
    <w:p>
      <w:pPr>
        <w:pStyle w:val="Heading1"/>
      </w:pPr>
      <w:r>
        <w:t>4. Defect lifecycle</w:t>
      </w:r>
    </w:p>
    <w:p>
      <w:r>
        <w:t>Each defect moves through this sequence:</w:t>
      </w:r>
    </w:p>
    <w:p>
      <w:pPr>
        <w:pStyle w:val="ListNumber"/>
      </w:pPr>
      <w:r>
        <w:t>Raised — by tester, user, or automated check. Reproduction steps + expected vs actual behaviour + test data context.</w:t>
      </w:r>
    </w:p>
    <w:p>
      <w:pPr>
        <w:pStyle w:val="ListNumber"/>
      </w:pPr>
      <w:r>
        <w:t>Classified — Defect Manager assigns severity (P1–P4), workstream, and target fixer at daily triage.</w:t>
      </w:r>
    </w:p>
    <w:p>
      <w:pPr>
        <w:pStyle w:val="ListNumber"/>
      </w:pPr>
      <w:r>
        <w:t>Assigned — to a named SI Functional or Technical Lead. Triage tool records the assignment.</w:t>
      </w:r>
    </w:p>
    <w:p>
      <w:pPr>
        <w:pStyle w:val="ListNumber"/>
      </w:pPr>
      <w:r>
        <w:t>Resolved — fix applied in dev environment; passed to test environment for re-test.</w:t>
      </w:r>
    </w:p>
    <w:p>
      <w:pPr>
        <w:pStyle w:val="ListNumber"/>
      </w:pPr>
      <w:r>
        <w:t>Retested — original tester or Defect Manager verifies fix. Marked closed if passes; reopened if fails.</w:t>
      </w:r>
    </w:p>
    <w:p>
      <w:pPr>
        <w:pStyle w:val="ListNumber"/>
      </w:pPr>
      <w:r>
        <w:t>Closed — final state. Audit trail preserved in defect log.</w:t>
      </w:r>
    </w:p>
    <w:p>
      <w:pPr>
        <w:pStyle w:val="ListNumber"/>
      </w:pPr>
      <w:r>
        <w:t>Reopened — closed-then-failed defects are escalated as priority on next triage.</w:t>
      </w:r>
    </w:p>
    <w:p>
      <w:pPr>
        <w:pStyle w:val="Heading1"/>
      </w:pPr>
      <w:r>
        <w:t>5. Cadences</w:t>
      </w:r>
    </w:p>
    <w:p>
      <w:r>
        <w:t>Defect management runs to a published cadence. Attendees, frequency and outputs are agreed during the prep period (S11–S13) and locked at the start-of-Testing readiness review.</w:t>
      </w:r>
    </w:p>
    <w:tbl>
      <w:tblPr>
        <w:tblStyle w:val="TableGrid"/>
        <w:tblW w:type="auto" w:w="0"/>
        <w:tblLook w:firstColumn="1" w:firstRow="1" w:lastColumn="0" w:lastRow="0" w:noHBand="0" w:noVBand="1" w:val="04A0"/>
      </w:tblPr>
      <w:tblGrid>
        <w:gridCol w:w="3249"/>
        <w:gridCol w:w="3249"/>
        <w:gridCol w:w="3249"/>
      </w:tblGrid>
      <w:tr>
        <w:tc>
          <w:tcPr>
            <w:tcW w:type="dxa" w:w="3249"/>
          </w:tcPr>
          <w:p>
            <w:r>
              <w:rPr>
                <w:b/>
              </w:rPr>
              <w:t>Cadence</w:t>
            </w:r>
          </w:p>
        </w:tc>
        <w:tc>
          <w:tcPr>
            <w:tcW w:type="dxa" w:w="3249"/>
          </w:tcPr>
          <w:p>
            <w:r>
              <w:rPr>
                <w:b/>
              </w:rPr>
              <w:t>Attendees</w:t>
            </w:r>
          </w:p>
        </w:tc>
        <w:tc>
          <w:tcPr>
            <w:tcW w:type="dxa" w:w="3249"/>
          </w:tcPr>
          <w:p>
            <w:r>
              <w:rPr>
                <w:b/>
              </w:rPr>
              <w:t>Output</w:t>
            </w:r>
          </w:p>
        </w:tc>
      </w:tr>
      <w:tr>
        <w:tc>
          <w:tcPr>
            <w:tcW w:type="dxa" w:w="3249"/>
          </w:tcPr>
          <w:p>
            <w:r>
              <w:t>Daily triage</w:t>
            </w:r>
          </w:p>
        </w:tc>
        <w:tc>
          <w:tcPr>
            <w:tcW w:type="dxa" w:w="3249"/>
          </w:tcPr>
          <w:p>
            <w:r>
              <w:t>Defect Manager, SI Test Lead, Client Functional Leads (workstream), SI Functional Leads (workstream)</w:t>
            </w:r>
          </w:p>
        </w:tc>
        <w:tc>
          <w:tcPr>
            <w:tcW w:type="dxa" w:w="3249"/>
          </w:tcPr>
          <w:p>
            <w:r>
              <w:t>Severity calibrated; target fixer assigned; ageing defects flagged; daily defect report</w:t>
            </w:r>
          </w:p>
        </w:tc>
      </w:tr>
      <w:tr>
        <w:tc>
          <w:tcPr>
            <w:tcW w:type="dxa" w:w="3249"/>
          </w:tcPr>
          <w:p>
            <w:r>
              <w:t>Weekly burn-down</w:t>
            </w:r>
          </w:p>
        </w:tc>
        <w:tc>
          <w:tcPr>
            <w:tcW w:type="dxa" w:w="3249"/>
          </w:tcPr>
          <w:p>
            <w:r>
              <w:t>Defect Manager, Client Test Manager</w:t>
            </w:r>
          </w:p>
        </w:tc>
        <w:tc>
          <w:tcPr>
            <w:tcW w:type="dxa" w:w="3249"/>
          </w:tcPr>
          <w:p>
            <w:r>
              <w:t>Forecast vs actual; risk to test exit dates flagged</w:t>
            </w:r>
          </w:p>
        </w:tc>
      </w:tr>
      <w:tr>
        <w:tc>
          <w:tcPr>
            <w:tcW w:type="dxa" w:w="3249"/>
          </w:tcPr>
          <w:p>
            <w:r>
              <w:t>Weekly Steering view</w:t>
            </w:r>
          </w:p>
        </w:tc>
        <w:tc>
          <w:tcPr>
            <w:tcW w:type="dxa" w:w="3249"/>
          </w:tcPr>
          <w:p>
            <w:r>
              <w:t>Defect Manager prepares; Programme Manager presents</w:t>
            </w:r>
          </w:p>
        </w:tc>
        <w:tc>
          <w:tcPr>
            <w:tcW w:type="dxa" w:w="3249"/>
          </w:tcPr>
          <w:p>
            <w:r>
              <w:t>Steering Committee informed; escalations raised</w:t>
            </w:r>
          </w:p>
        </w:tc>
      </w:tr>
      <w:tr>
        <w:tc>
          <w:tcPr>
            <w:tcW w:type="dxa" w:w="3249"/>
          </w:tcPr>
          <w:p>
            <w:r>
              <w:t>Test exit review</w:t>
            </w:r>
          </w:p>
        </w:tc>
        <w:tc>
          <w:tcPr>
            <w:tcW w:type="dxa" w:w="3249"/>
          </w:tcPr>
          <w:p>
            <w:r>
              <w:t>Defect Manager, Client Test Manager, Solution Architect, Process Owners</w:t>
            </w:r>
          </w:p>
        </w:tc>
        <w:tc>
          <w:tcPr>
            <w:tcW w:type="dxa" w:w="3249"/>
          </w:tcPr>
          <w:p>
            <w:r>
              <w:t>Final defect log; P2-with-workaround sign-off evidence; residuals for post-go-live fix plan</w:t>
            </w:r>
          </w:p>
        </w:tc>
      </w:tr>
    </w:tbl>
    <w:p>
      <w:pPr>
        <w:pStyle w:val="Heading1"/>
      </w:pPr>
      <w:r>
        <w:t>6. Reporting templates</w:t>
      </w:r>
    </w:p>
    <w:p>
      <w:r>
        <w:t>The Defect Manager owns four standard reports. Each is templated; the prep period is when the templates are drafted and signed off.</w:t>
      </w:r>
    </w:p>
    <w:p>
      <w:pPr>
        <w:pStyle w:val="ListBullet"/>
      </w:pPr>
      <w:r>
        <w:t>Daily defect report (during UAT) — total open by severity, opened today, closed today, ageing by severity, P1 escalation list.</w:t>
      </w:r>
    </w:p>
    <w:p>
      <w:pPr>
        <w:pStyle w:val="ListBullet"/>
      </w:pPr>
      <w:r>
        <w:t>Weekly burn-down — open by severity over time, forecast curve, deviation from forecast, risk to exit dates.</w:t>
      </w:r>
    </w:p>
    <w:p>
      <w:pPr>
        <w:pStyle w:val="ListBullet"/>
      </w:pPr>
      <w:r>
        <w:t>Weekly Steering view (1 slide) — RAG status on defect health, P1/P2 counts, ageing trend, ask of Steering (if any).</w:t>
      </w:r>
    </w:p>
    <w:p>
      <w:pPr>
        <w:pStyle w:val="ListBullet"/>
      </w:pPr>
      <w:r>
        <w:t>Test exit report — defect log reconciled to test scripts, residual defects with workarounds documented, sign-off evidence ready for Test Exit / Cutover Readiness checkpoint.</w:t>
      </w:r>
    </w:p>
    <w:p>
      <w:pPr>
        <w:pStyle w:val="Heading1"/>
      </w:pPr>
      <w:r>
        <w:t>7. Defect-tracking tool</w:t>
      </w:r>
    </w:p>
    <w:p>
      <w:r>
        <w:t>Keystone's default tooling is Azure DevOps for defect tracking. Configuration is agreed during the prep period:</w:t>
      </w:r>
    </w:p>
    <w:p>
      <w:pPr>
        <w:pStyle w:val="ListBullet"/>
      </w:pPr>
      <w:r>
        <w:t>Defect work item type with mandatory fields: severity, workstream, target fixer, test script reference, environment, repro steps, expected vs actual.</w:t>
      </w:r>
    </w:p>
    <w:p>
      <w:pPr>
        <w:pStyle w:val="ListBullet"/>
      </w:pPr>
      <w:r>
        <w:t>Severity field uses the P1–P4 values from Section 3.</w:t>
      </w:r>
    </w:p>
    <w:p>
      <w:pPr>
        <w:pStyle w:val="ListBullet"/>
      </w:pPr>
      <w:r>
        <w:t>Custom queries for daily triage, weekly burn-down, ageing tracking, P1 escalation.</w:t>
      </w:r>
    </w:p>
    <w:p>
      <w:pPr>
        <w:pStyle w:val="ListBullet"/>
      </w:pPr>
      <w:r>
        <w:t>Integration with test script management (test cases linked to defects).</w:t>
      </w:r>
    </w:p>
    <w:p>
      <w:pPr>
        <w:pStyle w:val="ListBullet"/>
      </w:pPr>
      <w:r>
        <w:t>Reporting dashboards aligned to the four standard reports in Section 6.</w:t>
      </w:r>
    </w:p>
    <w:p>
      <w:pPr>
        <w:pStyle w:val="Heading1"/>
      </w:pPr>
      <w:r>
        <w:t>8. Start-of-SAT readiness checklist</w:t>
      </w:r>
    </w:p>
    <w:p/>
    <w:p>
      <w:r>
        <w:rPr>
          <w:i/>
        </w:rPr>
        <w:t>Run this checklist 1–2 weeks before SAT begins. Day one of SAT should be the first triage day, not the first prep day. If items remain open, treat them as Pre-SAT blockers.</w:t>
      </w:r>
    </w:p>
    <w:tbl>
      <w:tblPr>
        <w:tblStyle w:val="TableGrid"/>
        <w:tblW w:type="auto" w:w="0"/>
        <w:tblLook w:firstColumn="1" w:firstRow="1" w:lastColumn="0" w:lastRow="0" w:noHBand="0" w:noVBand="1" w:val="04A0"/>
      </w:tblPr>
      <w:tblGrid>
        <w:gridCol w:w="3249"/>
        <w:gridCol w:w="3249"/>
        <w:gridCol w:w="3249"/>
      </w:tblGrid>
      <w:tr>
        <w:tc>
          <w:tcPr>
            <w:tcW w:type="dxa" w:w="3249"/>
          </w:tcPr>
          <w:p>
            <w:r>
              <w:rPr>
                <w:b/>
              </w:rPr>
              <w:t>Item</w:t>
            </w:r>
          </w:p>
        </w:tc>
        <w:tc>
          <w:tcPr>
            <w:tcW w:type="dxa" w:w="3249"/>
          </w:tcPr>
          <w:p>
            <w:r>
              <w:rPr>
                <w:b/>
              </w:rPr>
              <w:t>Owner</w:t>
            </w:r>
          </w:p>
        </w:tc>
        <w:tc>
          <w:tcPr>
            <w:tcW w:type="dxa" w:w="3249"/>
          </w:tcPr>
          <w:p>
            <w:r>
              <w:rPr>
                <w:b/>
              </w:rPr>
              <w:t>Status</w:t>
            </w:r>
          </w:p>
        </w:tc>
      </w:tr>
      <w:tr>
        <w:tc>
          <w:tcPr>
            <w:tcW w:type="dxa" w:w="3249"/>
          </w:tcPr>
          <w:p>
            <w:r>
              <w:t>Defect Management Plan authored and signed off by Client Test Manager</w:t>
            </w:r>
          </w:p>
        </w:tc>
        <w:tc>
          <w:tcPr>
            <w:tcW w:type="dxa" w:w="3249"/>
          </w:tcPr>
          <w:p>
            <w:r>
              <w:t>Defect Manager</w:t>
            </w:r>
          </w:p>
        </w:tc>
        <w:tc>
          <w:tcPr>
            <w:tcW w:type="dxa" w:w="3249"/>
          </w:tcPr>
          <w:p>
            <w:r>
              <w:t>[ ] Complete</w:t>
            </w:r>
          </w:p>
        </w:tc>
      </w:tr>
      <w:tr>
        <w:tc>
          <w:tcPr>
            <w:tcW w:type="dxa" w:w="3249"/>
          </w:tcPr>
          <w:p>
            <w:r>
              <w:t>P1–P4 severity definitions agreed with SI and Design Authority</w:t>
            </w:r>
          </w:p>
        </w:tc>
        <w:tc>
          <w:tcPr>
            <w:tcW w:type="dxa" w:w="3249"/>
          </w:tcPr>
          <w:p>
            <w:r>
              <w:t>Defect Manager</w:t>
            </w:r>
          </w:p>
        </w:tc>
        <w:tc>
          <w:tcPr>
            <w:tcW w:type="dxa" w:w="3249"/>
          </w:tcPr>
          <w:p>
            <w:r>
              <w:t>[ ] Complete</w:t>
            </w:r>
          </w:p>
        </w:tc>
      </w:tr>
      <w:tr>
        <w:tc>
          <w:tcPr>
            <w:tcW w:type="dxa" w:w="3249"/>
          </w:tcPr>
          <w:p>
            <w:r>
              <w:t>Defect-tracking tool (Azure DevOps) configured per Section 7 — work item type, mandatory fields, severity values, custom queries, dashboards</w:t>
            </w:r>
          </w:p>
        </w:tc>
        <w:tc>
          <w:tcPr>
            <w:tcW w:type="dxa" w:w="3249"/>
          </w:tcPr>
          <w:p>
            <w:r>
              <w:t>Defect Manager + SI Test Lead</w:t>
            </w:r>
          </w:p>
        </w:tc>
        <w:tc>
          <w:tcPr>
            <w:tcW w:type="dxa" w:w="3249"/>
          </w:tcPr>
          <w:p>
            <w:r>
              <w:t>[ ] Complete</w:t>
            </w:r>
          </w:p>
        </w:tc>
      </w:tr>
      <w:tr>
        <w:tc>
          <w:tcPr>
            <w:tcW w:type="dxa" w:w="3249"/>
          </w:tcPr>
          <w:p>
            <w:r>
              <w:t>Daily triage cadence published — time, attendees, location/video link, standing agenda</w:t>
            </w:r>
          </w:p>
        </w:tc>
        <w:tc>
          <w:tcPr>
            <w:tcW w:type="dxa" w:w="3249"/>
          </w:tcPr>
          <w:p>
            <w:r>
              <w:t>Defect Manager</w:t>
            </w:r>
          </w:p>
        </w:tc>
        <w:tc>
          <w:tcPr>
            <w:tcW w:type="dxa" w:w="3249"/>
          </w:tcPr>
          <w:p>
            <w:r>
              <w:t>[ ] Complete</w:t>
            </w:r>
          </w:p>
        </w:tc>
      </w:tr>
      <w:tr>
        <w:tc>
          <w:tcPr>
            <w:tcW w:type="dxa" w:w="3249"/>
          </w:tcPr>
          <w:p>
            <w:r>
              <w:t>Reporting templates drafted — daily, weekly, Steering view, test exit</w:t>
            </w:r>
          </w:p>
        </w:tc>
        <w:tc>
          <w:tcPr>
            <w:tcW w:type="dxa" w:w="3249"/>
          </w:tcPr>
          <w:p>
            <w:r>
              <w:t>Defect Manager + Client Test Manager</w:t>
            </w:r>
          </w:p>
        </w:tc>
        <w:tc>
          <w:tcPr>
            <w:tcW w:type="dxa" w:w="3249"/>
          </w:tcPr>
          <w:p>
            <w:r>
              <w:t>[ ] Complete</w:t>
            </w:r>
          </w:p>
        </w:tc>
      </w:tr>
      <w:tr>
        <w:tc>
          <w:tcPr>
            <w:tcW w:type="dxa" w:w="3249"/>
          </w:tcPr>
          <w:p>
            <w:r>
              <w:t>Workstream-to-SI Functional Lead mapping confirmed (who fixes what)</w:t>
            </w:r>
          </w:p>
        </w:tc>
        <w:tc>
          <w:tcPr>
            <w:tcW w:type="dxa" w:w="3249"/>
          </w:tcPr>
          <w:p>
            <w:r>
              <w:t>Defect Manager + SI Programme Director</w:t>
            </w:r>
          </w:p>
        </w:tc>
        <w:tc>
          <w:tcPr>
            <w:tcW w:type="dxa" w:w="3249"/>
          </w:tcPr>
          <w:p>
            <w:r>
              <w:t>[ ] Complete</w:t>
            </w:r>
          </w:p>
        </w:tc>
      </w:tr>
      <w:tr>
        <w:tc>
          <w:tcPr>
            <w:tcW w:type="dxa" w:w="3249"/>
          </w:tcPr>
          <w:p>
            <w:r>
              <w:t>Escalation path documented and agreed: workstream → Client Test Manager → Programme Manager → Steering</w:t>
            </w:r>
          </w:p>
        </w:tc>
        <w:tc>
          <w:tcPr>
            <w:tcW w:type="dxa" w:w="3249"/>
          </w:tcPr>
          <w:p>
            <w:r>
              <w:t>Client Test Manager</w:t>
            </w:r>
          </w:p>
        </w:tc>
        <w:tc>
          <w:tcPr>
            <w:tcW w:type="dxa" w:w="3249"/>
          </w:tcPr>
          <w:p>
            <w:r>
              <w:t>[ ] Complete</w:t>
            </w:r>
          </w:p>
        </w:tc>
      </w:tr>
      <w:tr>
        <w:tc>
          <w:tcPr>
            <w:tcW w:type="dxa" w:w="3249"/>
          </w:tcPr>
          <w:p>
            <w:r>
              <w:t>Process Owners briefed on their role in defect process (acceptance, P3 workarounds, escalation triggers)</w:t>
            </w:r>
          </w:p>
        </w:tc>
        <w:tc>
          <w:tcPr>
            <w:tcW w:type="dxa" w:w="3249"/>
          </w:tcPr>
          <w:p>
            <w:r>
              <w:t>Client Test Manager + Defect Manager</w:t>
            </w:r>
          </w:p>
        </w:tc>
        <w:tc>
          <w:tcPr>
            <w:tcW w:type="dxa" w:w="3249"/>
          </w:tcPr>
          <w:p>
            <w:r>
              <w:t>[ ] Complete</w:t>
            </w:r>
          </w:p>
        </w:tc>
      </w:tr>
      <w:tr>
        <w:tc>
          <w:tcPr>
            <w:tcW w:type="dxa" w:w="3249"/>
          </w:tcPr>
          <w:p>
            <w:r>
              <w:t>Test exit criteria thresholds confirmed (P1=0; P2=0 unless workaround; P3/P4 ceilings published)</w:t>
            </w:r>
          </w:p>
        </w:tc>
        <w:tc>
          <w:tcPr>
            <w:tcW w:type="dxa" w:w="3249"/>
          </w:tcPr>
          <w:p>
            <w:r>
              <w:t>Client Test Manager + Solution Architect</w:t>
            </w:r>
          </w:p>
        </w:tc>
        <w:tc>
          <w:tcPr>
            <w:tcW w:type="dxa" w:w="3249"/>
          </w:tcPr>
          <w:p>
            <w:r>
              <w:t>[ ] Complete</w:t>
            </w:r>
          </w:p>
        </w:tc>
      </w:tr>
      <w:tr>
        <w:tc>
          <w:tcPr>
            <w:tcW w:type="dxa" w:w="3249"/>
          </w:tcPr>
          <w:p>
            <w:r>
              <w:t>First SAT cycle scripts loaded into tracking tool, ready for linking to defects raised</w:t>
            </w:r>
          </w:p>
        </w:tc>
        <w:tc>
          <w:tcPr>
            <w:tcW w:type="dxa" w:w="3249"/>
          </w:tcPr>
          <w:p>
            <w:r>
              <w:t>SI Test Lead + Defect Manager</w:t>
            </w:r>
          </w:p>
        </w:tc>
        <w:tc>
          <w:tcPr>
            <w:tcW w:type="dxa" w:w="3249"/>
          </w:tcPr>
          <w:p>
            <w:r>
              <w:t>[ ] Complete</w:t>
            </w:r>
          </w:p>
        </w:tc>
      </w:tr>
    </w:tbl>
    <w:p/>
    <w:p>
      <w:r>
        <w:rPr>
          <w:i/>
        </w:rPr>
        <w:t>All ten items must be complete before SAT can begin. Open items as of SAT entry date are Pre-SAT blockers and must be escalated to the Programme Manager.</w:t>
      </w:r>
    </w:p>
    <w:p>
      <w:pPr>
        <w:pStyle w:val="Heading1"/>
      </w:pPr>
      <w:r>
        <w:t>9. Audit trail at test exit</w:t>
      </w:r>
    </w:p>
    <w:p>
      <w:r>
        <w:t>The Defect Manager carries the audit trail through Test Exit / Cutover Readiness. Required artefacts:</w:t>
      </w:r>
    </w:p>
    <w:p>
      <w:pPr>
        <w:pStyle w:val="ListBullet"/>
      </w:pPr>
      <w:r>
        <w:t>Defect log (full, with every defect from S14 onwards) — exported from Azure DevOps to immutable record.</w:t>
      </w:r>
    </w:p>
    <w:p>
      <w:pPr>
        <w:pStyle w:val="ListBullet"/>
      </w:pPr>
      <w:r>
        <w:t>Defect log reconciled to test scripts — every script's defects traceable; no orphans.</w:t>
      </w:r>
    </w:p>
    <w:p>
      <w:pPr>
        <w:pStyle w:val="ListBullet"/>
      </w:pPr>
      <w:r>
        <w:t>P2-with-workaround sign-off evidence — Design Authority approval, Process Owner approval, recorded in the Test Exit Report.</w:t>
      </w:r>
    </w:p>
    <w:p>
      <w:pPr>
        <w:pStyle w:val="ListBullet"/>
      </w:pPr>
      <w:r>
        <w:t>Residual defect list — P3/P4 open at exit, each with named post-go-live fix owner and target date.</w:t>
      </w:r>
    </w:p>
    <w:p>
      <w:pPr>
        <w:pStyle w:val="ListBullet"/>
      </w:pPr>
      <w:r>
        <w:t>Test exit report — published artefact, signed by Client Test Manager and Solution Architect.</w:t>
      </w:r>
    </w:p>
    <w:p>
      <w:pPr>
        <w:pStyle w:val="Heading2"/>
      </w:pPr>
      <w:r>
        <w:t>Sign-off is non-transferable</w:t>
      </w:r>
    </w:p>
    <w:p>
      <w:r>
        <w:t>Per canonical: sign-off is non-transferable. If the named role is unavailable on the day, the test exit waits — it does not delegate down. 'Signed on behalf of' produces contested exits and difficult hypercare conversations. The Defect Manager carries this principle through the cadence — daily reports flag any named-role availability risk at the upcoming exit gate, with enough notice for the Programme Manager to re-schedule rather than substitute.</w:t>
      </w:r>
    </w:p>
    <w:p>
      <w:pPr>
        <w:pStyle w:val="Heading1"/>
      </w:pPr>
      <w:r>
        <w:t>10. Common mistakes</w:t>
      </w:r>
    </w:p>
    <w:p>
      <w:pPr>
        <w:pStyle w:val="ListBullet"/>
      </w:pPr>
      <w:r>
        <w:rPr>
          <w:b/>
        </w:rPr>
        <w:t>Leaving the Defect Manager role implicit.</w:t>
      </w:r>
      <w:r>
        <w:t xml:space="preserve"> Client Test Manager absorbs it on small programmes only. On medium/large, the operational work needs a named person. Without it, by UAT the testing programme slips OR defect work slips. Usually both.</w:t>
      </w:r>
    </w:p>
    <w:p>
      <w:pPr>
        <w:pStyle w:val="ListBullet"/>
      </w:pPr>
      <w:r>
        <w:rPr>
          <w:b/>
        </w:rPr>
        <w:t>Skipping the prep period.</w:t>
      </w:r>
      <w:r>
        <w:t xml:space="preserve"> Day one of SAT becomes prep day. Triage doesn't run cleanly until week two. Defect ageing starts immediately at SAT start; without prep, ageing is already poor when the first weekly Steering view is published.</w:t>
      </w:r>
    </w:p>
    <w:p>
      <w:pPr>
        <w:pStyle w:val="ListBullet"/>
      </w:pPr>
      <w:r>
        <w:rPr>
          <w:b/>
        </w:rPr>
        <w:t>Severity creep.</w:t>
      </w:r>
      <w:r>
        <w:t xml:space="preserve"> P2 gets re-labelled P3 to manage the open count. Defect Manager must resist this; severity calibration is a credibility issue.</w:t>
      </w:r>
    </w:p>
    <w:p>
      <w:pPr>
        <w:pStyle w:val="ListBullet"/>
      </w:pPr>
      <w:r>
        <w:rPr>
          <w:b/>
        </w:rPr>
        <w:t>Triage by SI alone.</w:t>
      </w:r>
      <w:r>
        <w:t xml:space="preserve"> If Client Functional Leads don't attend triage, severity gets calibrated from a technical-fix perspective only. Severity has to reflect business impact too — that's why Client Functional Leads attend.</w:t>
      </w:r>
    </w:p>
    <w:p>
      <w:pPr>
        <w:pStyle w:val="ListBullet"/>
      </w:pPr>
      <w:r>
        <w:rPr>
          <w:b/>
        </w:rPr>
        <w:t>P2-with-workaround as a soft option.</w:t>
      </w:r>
      <w:r>
        <w:t xml:space="preserve"> The Design Authority + Process Owner sign-off is non-negotiable. Workaround must be documented in the Test Exit Report with a post-go-live fix owner and target date. No grey area.</w:t>
      </w:r>
    </w:p>
    <w:p/>
    <w:p>
      <w:pPr>
        <w:pStyle w:val="Heading1"/>
      </w:pPr>
      <w:r>
        <w:t>11. References</w:t>
      </w:r>
    </w:p>
    <w:p>
      <w:pPr>
        <w:pStyle w:val="ListBullet"/>
      </w:pPr>
      <w:r>
        <w:t>Test Strategy (Stages 13-17) — overall test approach including defect management framing (Section 4).</w:t>
      </w:r>
    </w:p>
    <w:p>
      <w:pPr>
        <w:pStyle w:val="ListBullet"/>
      </w:pPr>
      <w:r>
        <w:t>RACI Matrix — Defect Manager row showing per-stage activity.</w:t>
      </w:r>
    </w:p>
    <w:p>
      <w:pPr>
        <w:pStyle w:val="ListBullet"/>
      </w:pPr>
      <w:r>
        <w:t>Keystone canonical reference — Defect Manager (14th testing role) section, scaling rule, prep-period rule.</w:t>
      </w:r>
    </w:p>
    <w:p>
      <w:pPr>
        <w:pStyle w:val="ListBullet"/>
      </w:pPr>
      <w:r>
        <w:t>Command Centre — Testing tab, Roles &amp; Responsibilities — Defect Manager tile.</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