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Dual Write — Architecture Decision Record</w:t>
      </w:r>
    </w:p>
    <w:p>
      <w:r>
        <w:rPr>
          <w:i/>
          <w:color w:val="555555"/>
          <w:sz w:val="22"/>
        </w:rPr>
        <w:t>Stage 12 — Solution Design &amp; Full Business Case · Dual-pillar (ERP + CRM) implementations only</w:t>
      </w:r>
    </w:p>
    <w:p>
      <w:r>
        <w:rPr>
          <w:i/>
          <w:sz w:val="20"/>
        </w:rPr>
        <w:t>Per the Keystone canonical position on multi-pillar implementations: Dual Write is not a build-time configuration detail. It is a Solution Design (S12) architectural decision that the Design Authority signs off, recorded as an Architecture Decision Record (this template). Treating Dual Write as something the SI configures during Build (S13) is one of the most common multi-pillar delivery mistakes — by that point the design assumptions are baked in, and changing them is expensive.</w:t>
      </w:r>
    </w:p>
    <w:p/>
    <w:p>
      <w:pPr>
        <w:pStyle w:val="Heading1"/>
      </w:pPr>
      <w:r>
        <w:t>RACI</w:t>
      </w:r>
    </w:p>
    <w:tbl>
      <w:tblPr>
        <w:tblStyle w:val="TableGrid"/>
        <w:tblW w:type="auto" w:w="0"/>
        <w:tblLook w:firstColumn="1" w:firstRow="1" w:lastColumn="0" w:lastRow="0" w:noHBand="0" w:noVBand="1" w:val="04A0"/>
      </w:tblPr>
      <w:tblGrid>
        <w:gridCol w:w="4873"/>
        <w:gridCol w:w="4873"/>
      </w:tblGrid>
      <w:tr>
        <w:tc>
          <w:tcPr>
            <w:tcW w:type="dxa" w:w="4873"/>
          </w:tcPr>
          <w:p>
            <w:r>
              <w:rPr>
                <w:b/>
              </w:rPr>
              <w:t>Responsible</w:t>
            </w:r>
          </w:p>
        </w:tc>
        <w:tc>
          <w:tcPr>
            <w:tcW w:type="dxa" w:w="4873"/>
          </w:tcPr>
          <w:p>
            <w:r>
              <w:t>Integration Lead</w:t>
            </w:r>
          </w:p>
        </w:tc>
      </w:tr>
      <w:tr>
        <w:tc>
          <w:tcPr>
            <w:tcW w:type="dxa" w:w="4873"/>
          </w:tcPr>
          <w:p>
            <w:r>
              <w:rPr>
                <w:b/>
              </w:rPr>
              <w:t>Accountable</w:t>
            </w:r>
          </w:p>
        </w:tc>
        <w:tc>
          <w:tcPr>
            <w:tcW w:type="dxa" w:w="4873"/>
          </w:tcPr>
          <w:p>
            <w:r>
              <w:t>Solution Architect (Client side)</w:t>
            </w:r>
          </w:p>
        </w:tc>
      </w:tr>
      <w:tr>
        <w:tc>
          <w:tcPr>
            <w:tcW w:type="dxa" w:w="4873"/>
          </w:tcPr>
          <w:p>
            <w:r>
              <w:rPr>
                <w:b/>
              </w:rPr>
              <w:t>Consulted</w:t>
            </w:r>
          </w:p>
        </w:tc>
        <w:tc>
          <w:tcPr>
            <w:tcW w:type="dxa" w:w="4873"/>
          </w:tcPr>
          <w:p>
            <w:r>
              <w:t>Data Architect, SI Solution Architect</w:t>
            </w:r>
          </w:p>
        </w:tc>
      </w:tr>
      <w:tr>
        <w:tc>
          <w:tcPr>
            <w:tcW w:type="dxa" w:w="4873"/>
          </w:tcPr>
          <w:p>
            <w:r>
              <w:rPr>
                <w:b/>
              </w:rPr>
              <w:t>Informed</w:t>
            </w:r>
          </w:p>
        </w:tc>
        <w:tc>
          <w:tcPr>
            <w:tcW w:type="dxa" w:w="4873"/>
          </w:tcPr>
          <w:p>
            <w:r>
              <w:t>Programme Manager, Project Managers (per pillar), Client Test Manager</w:t>
            </w:r>
          </w:p>
        </w:tc>
      </w:tr>
      <w:tr>
        <w:tc>
          <w:tcPr>
            <w:tcW w:type="dxa" w:w="4873"/>
          </w:tcPr>
          <w:p>
            <w:r>
              <w:rPr>
                <w:b/>
              </w:rPr>
              <w:t>Endorsed by</w:t>
            </w:r>
          </w:p>
        </w:tc>
        <w:tc>
          <w:tcPr>
            <w:tcW w:type="dxa" w:w="4873"/>
          </w:tcPr>
          <w:p>
            <w:r>
              <w:t>Design Authority at the Solution Design Sign-Off checkpoint within Stage 12</w:t>
            </w:r>
          </w:p>
        </w:tc>
      </w:tr>
      <w:tr>
        <w:tc>
          <w:tcPr>
            <w:tcW w:type="dxa" w:w="4873"/>
          </w:tcPr>
          <w:p>
            <w:r>
              <w:rPr>
                <w:b/>
              </w:rPr>
              <w:t>Status</w:t>
            </w:r>
          </w:p>
        </w:tc>
        <w:tc>
          <w:tcPr>
            <w:tcW w:type="dxa" w:w="4873"/>
          </w:tcPr>
          <w:p>
            <w:r>
              <w:t>[Proposed | Accepted | Superseded by ADR-XX]</w:t>
            </w:r>
          </w:p>
        </w:tc>
      </w:tr>
    </w:tbl>
    <w:p/>
    <w:p>
      <w:pPr>
        <w:pStyle w:val="Heading1"/>
      </w:pPr>
      <w:r>
        <w:t>1. Context</w:t>
      </w:r>
    </w:p>
    <w:p>
      <w:r>
        <w:rPr>
          <w:i/>
        </w:rPr>
        <w:t xml:space="preserve">Capture why this decision is being made now, and what the constraints are. </w:t>
      </w:r>
      <w:r>
        <w:rPr>
          <w:i/>
        </w:rPr>
        <w:t>Suggested prompts:</w:t>
      </w:r>
    </w:p>
    <w:p>
      <w:pPr>
        <w:pStyle w:val="ListBullet"/>
      </w:pPr>
      <w:r>
        <w:t>What pillars are in scope (e.g. Microsoft D365 F&amp;O + D365 CE; SAP S/4HANA + SAP C/4)?</w:t>
      </w:r>
    </w:p>
    <w:p>
      <w:pPr>
        <w:pStyle w:val="ListBullet"/>
      </w:pPr>
      <w:r>
        <w:t>Which business processes span both pillars?</w:t>
      </w:r>
    </w:p>
    <w:p>
      <w:pPr>
        <w:pStyle w:val="ListBullet"/>
      </w:pPr>
      <w:r>
        <w:t>What are the data volumes — typical record counts per entity, peak concurrent transactions?</w:t>
      </w:r>
    </w:p>
    <w:p>
      <w:pPr>
        <w:pStyle w:val="ListBullet"/>
      </w:pPr>
      <w:r>
        <w:t>What integration tooling is in scope (Dual Write, Cloud ALM, custom API, middleware)?</w:t>
      </w:r>
    </w:p>
    <w:p>
      <w:pPr>
        <w:pStyle w:val="ListBullet"/>
      </w:pPr>
      <w:r>
        <w:t>What are the constraints — latency tolerance, availability targets, audit / regulatory requirements?</w:t>
      </w:r>
    </w:p>
    <w:p>
      <w:r>
        <w:rPr>
          <w:i/>
          <w:color w:val="888888"/>
        </w:rPr>
        <w:t>[Programme-specific context goes here — typically 200–400 words covering scope, drivers, constraints]</w:t>
      </w:r>
    </w:p>
    <w:p/>
    <w:p>
      <w:pPr>
        <w:pStyle w:val="Heading1"/>
      </w:pPr>
      <w:r>
        <w:t>2. Decision</w:t>
      </w:r>
    </w:p>
    <w:p>
      <w:r>
        <w:rPr>
          <w:i/>
        </w:rPr>
        <w:t>State the decision precisely. The decision must be specific enough to act on without further interpretation. Suggested structure:</w:t>
      </w:r>
    </w:p>
    <w:tbl>
      <w:tblPr>
        <w:tblStyle w:val="TableGrid"/>
        <w:tblW w:type="auto" w:w="0"/>
        <w:tblLook w:firstColumn="1" w:firstRow="1" w:lastColumn="0" w:lastRow="0" w:noHBand="0" w:noVBand="1" w:val="04A0"/>
      </w:tblPr>
      <w:tblGrid>
        <w:gridCol w:w="4873"/>
        <w:gridCol w:w="4873"/>
      </w:tblGrid>
      <w:tr>
        <w:tc>
          <w:tcPr>
            <w:tcW w:type="dxa" w:w="4873"/>
          </w:tcPr>
          <w:p>
            <w:r>
              <w:rPr>
                <w:b/>
              </w:rPr>
              <w:t>Element</w:t>
            </w:r>
          </w:p>
        </w:tc>
        <w:tc>
          <w:tcPr>
            <w:tcW w:type="dxa" w:w="4873"/>
          </w:tcPr>
          <w:p>
            <w:r>
              <w:rPr>
                <w:b/>
              </w:rPr>
              <w:t>Decision</w:t>
            </w:r>
          </w:p>
        </w:tc>
      </w:tr>
      <w:tr>
        <w:tc>
          <w:tcPr>
            <w:tcW w:type="dxa" w:w="4873"/>
          </w:tcPr>
          <w:p>
            <w:r>
              <w:t>Entities synchronised</w:t>
            </w:r>
          </w:p>
        </w:tc>
        <w:tc>
          <w:tcPr>
            <w:tcW w:type="dxa" w:w="4873"/>
          </w:tcPr>
          <w:p>
            <w:r>
              <w:t>[List of entities — e.g. Customer, Product, Currency, Sales Order, Invoice]</w:t>
            </w:r>
          </w:p>
        </w:tc>
      </w:tr>
      <w:tr>
        <w:tc>
          <w:tcPr>
            <w:tcW w:type="dxa" w:w="4873"/>
          </w:tcPr>
          <w:p>
            <w:r>
              <w:t>System of record per entity</w:t>
            </w:r>
          </w:p>
        </w:tc>
        <w:tc>
          <w:tcPr>
            <w:tcW w:type="dxa" w:w="4873"/>
          </w:tcPr>
          <w:p>
            <w:r>
              <w:t>[Per-entity: which pillar is master? e.g. Customer = CE; Product = F&amp;O; Invoice = F&amp;O]</w:t>
            </w:r>
          </w:p>
        </w:tc>
      </w:tr>
      <w:tr>
        <w:tc>
          <w:tcPr>
            <w:tcW w:type="dxa" w:w="4873"/>
          </w:tcPr>
          <w:p>
            <w:r>
              <w:t>Synchronous vs asynchronous</w:t>
            </w:r>
          </w:p>
        </w:tc>
        <w:tc>
          <w:tcPr>
            <w:tcW w:type="dxa" w:w="4873"/>
          </w:tcPr>
          <w:p>
            <w:r>
              <w:t>[Per-entity or default — sync (real-time, blocking) or async (eventual consistency)]</w:t>
            </w:r>
          </w:p>
        </w:tc>
      </w:tr>
      <w:tr>
        <w:tc>
          <w:tcPr>
            <w:tcW w:type="dxa" w:w="4873"/>
          </w:tcPr>
          <w:p>
            <w:r>
              <w:t>Failure handling</w:t>
            </w:r>
          </w:p>
        </w:tc>
        <w:tc>
          <w:tcPr>
            <w:tcW w:type="dxa" w:w="4873"/>
          </w:tcPr>
          <w:p>
            <w:r>
              <w:t>[What happens when Dual Write breaks — retry, queue, manual reconciliation, alert escalation]</w:t>
            </w:r>
          </w:p>
        </w:tc>
      </w:tr>
      <w:tr>
        <w:tc>
          <w:tcPr>
            <w:tcW w:type="dxa" w:w="4873"/>
          </w:tcPr>
          <w:p>
            <w:r>
              <w:t>Performance characteristics</w:t>
            </w:r>
          </w:p>
        </w:tc>
        <w:tc>
          <w:tcPr>
            <w:tcW w:type="dxa" w:w="4873"/>
          </w:tcPr>
          <w:p>
            <w:r>
              <w:t>[Expected throughput; peak concurrent volumes; latency SLA per entity]</w:t>
            </w:r>
          </w:p>
        </w:tc>
      </w:tr>
      <w:tr>
        <w:tc>
          <w:tcPr>
            <w:tcW w:type="dxa" w:w="4873"/>
          </w:tcPr>
          <w:p>
            <w:r>
              <w:t>Monitoring and alerting</w:t>
            </w:r>
          </w:p>
        </w:tc>
        <w:tc>
          <w:tcPr>
            <w:tcW w:type="dxa" w:w="4873"/>
          </w:tcPr>
          <w:p>
            <w:r>
              <w:t>[What is monitored — sync queue depth, failure rate, latency; thresholds; who responds; escalation path]</w:t>
            </w:r>
          </w:p>
        </w:tc>
      </w:tr>
    </w:tbl>
    <w:p/>
    <w:p>
      <w:pPr>
        <w:pStyle w:val="Heading1"/>
      </w:pPr>
      <w:r>
        <w:t>3. Alternatives considered</w:t>
      </w:r>
    </w:p>
    <w:p>
      <w:r>
        <w:rPr>
          <w:i/>
        </w:rPr>
        <w:t>Document the alternatives that were considered and why they were rejected. ADRs without alternatives are weaker — they read like rationalisation, not decision.</w:t>
      </w:r>
    </w:p>
    <w:tbl>
      <w:tblPr>
        <w:tblStyle w:val="TableGrid"/>
        <w:tblW w:type="auto" w:w="0"/>
        <w:tblLook w:firstColumn="1" w:firstRow="1" w:lastColumn="0" w:lastRow="0" w:noHBand="0" w:noVBand="1" w:val="04A0"/>
      </w:tblPr>
      <w:tblGrid>
        <w:gridCol w:w="3249"/>
        <w:gridCol w:w="3249"/>
        <w:gridCol w:w="3249"/>
      </w:tblGrid>
      <w:tr>
        <w:tc>
          <w:tcPr>
            <w:tcW w:type="dxa" w:w="3249"/>
          </w:tcPr>
          <w:p>
            <w:r>
              <w:rPr>
                <w:b/>
              </w:rPr>
              <w:t>Alternative</w:t>
            </w:r>
          </w:p>
        </w:tc>
        <w:tc>
          <w:tcPr>
            <w:tcW w:type="dxa" w:w="3249"/>
          </w:tcPr>
          <w:p>
            <w:r>
              <w:rPr>
                <w:b/>
              </w:rPr>
              <w:t>Description</w:t>
            </w:r>
          </w:p>
        </w:tc>
        <w:tc>
          <w:tcPr>
            <w:tcW w:type="dxa" w:w="3249"/>
          </w:tcPr>
          <w:p>
            <w:r>
              <w:rPr>
                <w:b/>
              </w:rPr>
              <w:t>Why rejected</w:t>
            </w:r>
          </w:p>
        </w:tc>
      </w:tr>
      <w:tr>
        <w:tc>
          <w:tcPr>
            <w:tcW w:type="dxa" w:w="3249"/>
          </w:tcPr>
          <w:p>
            <w:r>
              <w:t>Custom API + middleware</w:t>
            </w:r>
          </w:p>
        </w:tc>
        <w:tc>
          <w:tcPr>
            <w:tcW w:type="dxa" w:w="3249"/>
          </w:tcPr>
          <w:p>
            <w:r>
              <w:t>[Build bespoke integration layer — e.g. Logic Apps, Service Bus, custom code — instead of Dual Write]</w:t>
            </w:r>
          </w:p>
        </w:tc>
        <w:tc>
          <w:tcPr>
            <w:tcW w:type="dxa" w:w="3249"/>
          </w:tcPr>
          <w:p>
            <w:r>
              <w:t>[e.g. Higher build cost; no vendor support; ongoing maintenance burden falls to Client]</w:t>
            </w:r>
          </w:p>
        </w:tc>
      </w:tr>
      <w:tr>
        <w:tc>
          <w:tcPr>
            <w:tcW w:type="dxa" w:w="3249"/>
          </w:tcPr>
          <w:p>
            <w:r>
              <w:t>Async-only via event grid</w:t>
            </w:r>
          </w:p>
        </w:tc>
        <w:tc>
          <w:tcPr>
            <w:tcW w:type="dxa" w:w="3249"/>
          </w:tcPr>
          <w:p>
            <w:r>
              <w:t>[Move all sync to async event-driven, accept eventual consistency on all entities]</w:t>
            </w:r>
          </w:p>
        </w:tc>
        <w:tc>
          <w:tcPr>
            <w:tcW w:type="dxa" w:w="3249"/>
          </w:tcPr>
          <w:p>
            <w:r>
              <w:t>[e.g. Customer master needs sync consistency for order capture; eventual consistency unacceptable for that entity]</w:t>
            </w:r>
          </w:p>
        </w:tc>
      </w:tr>
      <w:tr>
        <w:tc>
          <w:tcPr>
            <w:tcW w:type="dxa" w:w="3249"/>
          </w:tcPr>
          <w:p>
            <w:r>
              <w:t>No integration — separate masters</w:t>
            </w:r>
          </w:p>
        </w:tc>
        <w:tc>
          <w:tcPr>
            <w:tcW w:type="dxa" w:w="3249"/>
          </w:tcPr>
          <w:p>
            <w:r>
              <w:t>[Maintain separate master data per pillar with manual reconciliation]</w:t>
            </w:r>
          </w:p>
        </w:tc>
        <w:tc>
          <w:tcPr>
            <w:tcW w:type="dxa" w:w="3249"/>
          </w:tcPr>
          <w:p>
            <w:r>
              <w:t>[e.g. Customer record duplication; reconciliation overhead; Process Owner workload unsustainable]</w:t>
            </w:r>
          </w:p>
        </w:tc>
      </w:tr>
    </w:tbl>
    <w:p/>
    <w:p>
      <w:pPr>
        <w:pStyle w:val="Heading1"/>
      </w:pPr>
      <w:r>
        <w:t>4. Consequences</w:t>
      </w:r>
    </w:p>
    <w:p>
      <w:r>
        <w:rPr>
          <w:i/>
        </w:rPr>
        <w:t>Both positive and negative. An ADR that lists only positives is incomplete — every architectural choice has trade-offs.</w:t>
      </w:r>
    </w:p>
    <w:p>
      <w:pPr>
        <w:pStyle w:val="Heading2"/>
      </w:pPr>
      <w:r>
        <w:t>Positive consequences</w:t>
      </w:r>
    </w:p>
    <w:p>
      <w:pPr>
        <w:pStyle w:val="ListBullet"/>
      </w:pPr>
      <w:r>
        <w:rPr>
          <w:i/>
          <w:color w:val="888888"/>
        </w:rPr>
        <w:t>[e.g. Single source of truth per entity removes Process Owner reconciliation overhead]</w:t>
      </w:r>
    </w:p>
    <w:p>
      <w:pPr>
        <w:pStyle w:val="ListBullet"/>
      </w:pPr>
      <w:r>
        <w:rPr>
          <w:i/>
          <w:color w:val="888888"/>
        </w:rPr>
        <w:t>[e.g. Vendor-supported integration mechanism reduces ongoing maintenance burden]</w:t>
      </w:r>
    </w:p>
    <w:p>
      <w:pPr>
        <w:pStyle w:val="ListBullet"/>
      </w:pPr>
      <w:r>
        <w:rPr>
          <w:i/>
          <w:color w:val="888888"/>
        </w:rPr>
        <w:t>[e.g. Real-time customer visibility across both pillars supports Sales-Service handoffs]</w:t>
      </w:r>
    </w:p>
    <w:p>
      <w:pPr>
        <w:pStyle w:val="Heading2"/>
      </w:pPr>
      <w:r>
        <w:t>Negative consequences</w:t>
      </w:r>
    </w:p>
    <w:p>
      <w:pPr>
        <w:pStyle w:val="ListBullet"/>
      </w:pPr>
      <w:r>
        <w:rPr>
          <w:i/>
          <w:color w:val="888888"/>
        </w:rPr>
        <w:t>[e.g. Tighter coupling — failure in one pillar can cascade to the other]</w:t>
      </w:r>
    </w:p>
    <w:p>
      <w:pPr>
        <w:pStyle w:val="ListBullet"/>
      </w:pPr>
      <w:r>
        <w:rPr>
          <w:i/>
          <w:color w:val="888888"/>
        </w:rPr>
        <w:t>[e.g. Schema drift between pillars must be actively managed via release coordination]</w:t>
      </w:r>
    </w:p>
    <w:p>
      <w:pPr>
        <w:pStyle w:val="ListBullet"/>
      </w:pPr>
      <w:r>
        <w:rPr>
          <w:i/>
          <w:color w:val="888888"/>
        </w:rPr>
        <w:t>[e.g. Dual Write monitoring becomes a permanent operational responsibility post-go-live]</w:t>
      </w:r>
    </w:p>
    <w:p/>
    <w:p>
      <w:pPr>
        <w:pStyle w:val="Heading1"/>
      </w:pPr>
      <w:r>
        <w:t>5. Test approach</w:t>
      </w:r>
    </w:p>
    <w:p>
      <w:r>
        <w:rPr>
          <w:i/>
        </w:rPr>
        <w:t>Per the Keystone canonical position: Dual Write is tested at every layer — Unit, FAT, SAT, SIT — with realistic data volumes and failure scenarios. Capture the pillar-by-pillar and integration test plan here.</w:t>
      </w:r>
    </w:p>
    <w:p>
      <w:r>
        <w:t>Specifically:</w:t>
      </w:r>
    </w:p>
    <w:p>
      <w:pPr>
        <w:pStyle w:val="ListBullet"/>
      </w:pPr>
      <w:r>
        <w:t>Unit tests on each entity sync (per pillar SI's developer responsibility)</w:t>
      </w:r>
    </w:p>
    <w:p>
      <w:pPr>
        <w:pStyle w:val="ListBullet"/>
      </w:pPr>
      <w:r>
        <w:t>FAT confirms sync direction and field mapping per entity, per sprint</w:t>
      </w:r>
    </w:p>
    <w:p>
      <w:pPr>
        <w:pStyle w:val="ListBullet"/>
      </w:pPr>
      <w:r>
        <w:t>SAT validates volume and performance under expected load — including failure scenarios (queue depth, retry, alert)</w:t>
      </w:r>
    </w:p>
    <w:p>
      <w:pPr>
        <w:pStyle w:val="ListBullet"/>
      </w:pPr>
      <w:r>
        <w:t>SIT covers end-to-end business flows that traverse the integration boundary</w:t>
      </w:r>
    </w:p>
    <w:p>
      <w:pPr>
        <w:pStyle w:val="ListBullet"/>
      </w:pPr>
      <w:r>
        <w:t>NFT load-tests the integration under peak concurrent load</w:t>
      </w:r>
    </w:p>
    <w:p/>
    <w:p>
      <w:pPr>
        <w:pStyle w:val="Heading1"/>
      </w:pPr>
      <w:r>
        <w:t>6. Endorsement</w:t>
      </w:r>
    </w:p>
    <w:p>
      <w:r>
        <w:rPr>
          <w:i/>
        </w:rPr>
        <w:t>Design Authority sign-off block. The Design Authority endorses; the Solution Architect (Client side) is Accountable for the decision content.</w:t>
      </w:r>
    </w:p>
    <w:tbl>
      <w:tblPr>
        <w:tblStyle w:val="TableGrid"/>
        <w:tblW w:type="auto" w:w="0"/>
        <w:tblLook w:firstColumn="1" w:firstRow="1" w:lastColumn="0" w:lastRow="0" w:noHBand="0" w:noVBand="1" w:val="04A0"/>
      </w:tblPr>
      <w:tblGrid>
        <w:gridCol w:w="3249"/>
        <w:gridCol w:w="3249"/>
        <w:gridCol w:w="3249"/>
      </w:tblGrid>
      <w:tr>
        <w:tc>
          <w:tcPr>
            <w:tcW w:type="dxa" w:w="3249"/>
          </w:tcPr>
          <w:p>
            <w:r>
              <w:rPr>
                <w:b/>
              </w:rPr>
              <w:t>Role</w:t>
            </w:r>
          </w:p>
        </w:tc>
        <w:tc>
          <w:tcPr>
            <w:tcW w:type="dxa" w:w="3249"/>
          </w:tcPr>
          <w:p>
            <w:r>
              <w:rPr>
                <w:b/>
              </w:rPr>
              <w:t>Name</w:t>
            </w:r>
          </w:p>
        </w:tc>
        <w:tc>
          <w:tcPr>
            <w:tcW w:type="dxa" w:w="3249"/>
          </w:tcPr>
          <w:p>
            <w:r>
              <w:rPr>
                <w:b/>
              </w:rPr>
              <w:t>Date</w:t>
            </w:r>
          </w:p>
        </w:tc>
      </w:tr>
      <w:tr>
        <w:tc>
          <w:tcPr>
            <w:tcW w:type="dxa" w:w="3249"/>
          </w:tcPr>
          <w:p>
            <w:r>
              <w:t>Solution Architect (Client side) — Accountable</w:t>
            </w:r>
          </w:p>
        </w:tc>
        <w:tc>
          <w:tcPr>
            <w:tcW w:type="dxa" w:w="3249"/>
          </w:tcPr>
          <w:p>
            <w:r>
              <w:t>[Name]</w:t>
            </w:r>
          </w:p>
        </w:tc>
        <w:tc>
          <w:tcPr>
            <w:tcW w:type="dxa" w:w="3249"/>
          </w:tcPr>
          <w:p>
            <w:r>
              <w:t>[DD/MM/YYYY]</w:t>
            </w:r>
          </w:p>
        </w:tc>
      </w:tr>
      <w:tr>
        <w:tc>
          <w:tcPr>
            <w:tcW w:type="dxa" w:w="3249"/>
          </w:tcPr>
          <w:p>
            <w:r>
              <w:t>Integration Lead — Responsible</w:t>
            </w:r>
          </w:p>
        </w:tc>
        <w:tc>
          <w:tcPr>
            <w:tcW w:type="dxa" w:w="3249"/>
          </w:tcPr>
          <w:p>
            <w:r>
              <w:t>[Name]</w:t>
            </w:r>
          </w:p>
        </w:tc>
        <w:tc>
          <w:tcPr>
            <w:tcW w:type="dxa" w:w="3249"/>
          </w:tcPr>
          <w:p>
            <w:r>
              <w:t>[DD/MM/YYYY]</w:t>
            </w:r>
          </w:p>
        </w:tc>
      </w:tr>
      <w:tr>
        <w:tc>
          <w:tcPr>
            <w:tcW w:type="dxa" w:w="3249"/>
          </w:tcPr>
          <w:p>
            <w:r>
              <w:t>Design Authority — Endorsed at Solution Design Sign-Off (S12)</w:t>
            </w:r>
          </w:p>
        </w:tc>
        <w:tc>
          <w:tcPr>
            <w:tcW w:type="dxa" w:w="3249"/>
          </w:tcPr>
          <w:p>
            <w:r>
              <w:t>[Date of DA meeting]</w:t>
            </w:r>
          </w:p>
        </w:tc>
        <w:tc>
          <w:tcPr>
            <w:tcW w:type="dxa" w:w="3249"/>
          </w:tcPr>
          <w:p>
            <w:r>
              <w:t>[DD/MM/YYYY]</w:t>
            </w:r>
          </w:p>
        </w:tc>
      </w:tr>
    </w:tbl>
    <w:p/>
    <w:p>
      <w:pPr>
        <w:pStyle w:val="Heading1"/>
      </w:pPr>
      <w:r>
        <w:t>7. References</w:t>
      </w:r>
    </w:p>
    <w:p>
      <w:pPr>
        <w:pStyle w:val="ListBullet"/>
      </w:pPr>
      <w:r>
        <w:t>Solution Design Document (S12) — section: Dual-pillar architectural decisions</w:t>
      </w:r>
    </w:p>
    <w:p>
      <w:pPr>
        <w:pStyle w:val="ListBullet"/>
      </w:pPr>
      <w:r>
        <w:t>Keystone canonical reference — Multi-pillar position</w:t>
      </w:r>
    </w:p>
    <w:p>
      <w:pPr>
        <w:pStyle w:val="ListBullet"/>
      </w:pPr>
      <w:r>
        <w:t>Microsoft Dual Write documentation (or platform-equivalent integration framework)</w:t>
      </w:r>
    </w:p>
    <w:p>
      <w:pPr>
        <w:pStyle w:val="ListBullet"/>
      </w:pPr>
      <w:r>
        <w:t>Master Data Ownership Decision Record (sibling ADR)</w:t>
      </w:r>
    </w:p>
    <w:p>
      <w:pPr>
        <w:pStyle w:val="ListBullet"/>
      </w:pPr>
      <w:r>
        <w:t>Test Strategy (Stages 13–17) — Multi-pillar test approach section</w:t>
      </w:r>
    </w:p>
    <w:p/>
    <w:p>
      <w:r>
        <w:rPr>
          <w:i/>
          <w:color w:val="888888"/>
          <w:sz w:val="18"/>
        </w:rPr>
        <w:t>This template is one of two Architecture Decision Records produced at Stage 12 on dual-pillar implementations. Its companion is the Master Data Ownership Decision Record. Single-pillar programmes do not need this artefact.</w:t>
      </w:r>
    </w:p>
    <w:sectPr w:rsidR="00FC693F" w:rsidRPr="0006063C" w:rsidSect="00034616">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