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E2761"/>
          <w:sz w:val="72"/>
        </w:rPr>
        <w:br/>
        <w:br/>
        <w:br/>
        <w:t>Enterprise AS-IS Assessment</w:t>
      </w:r>
    </w:p>
    <w:p>
      <w:pPr>
        <w:jc w:val="center"/>
      </w:pPr>
      <w:r>
        <w:rPr>
          <w:rFonts w:ascii="Arial" w:hAnsi="Arial"/>
          <w:color w:val="555555"/>
          <w:sz w:val="40"/>
        </w:rPr>
        <w:t>Summary Report</w:t>
        <w:br/>
      </w:r>
    </w:p>
    <w:p>
      <w:pPr>
        <w:jc w:val="center"/>
      </w:pPr>
      <w:r>
        <w:rPr>
          <w:rFonts w:ascii="Arial" w:hAnsi="Arial"/>
          <w:i/>
          <w:color w:val="555555"/>
          <w:sz w:val="26"/>
        </w:rPr>
        <w:br/>
        <w:t>Stages 1–2 · Pre-Programme Deliverable</w:t>
        <w:br/>
        <w:br/>
      </w:r>
    </w:p>
    <w:p>
      <w:pPr>
        <w:jc w:val="center"/>
      </w:pPr>
      <w:r>
        <w:rPr>
          <w:rFonts w:ascii="Arial" w:hAnsi="Arial"/>
          <w:b/>
          <w:color w:val="1E2761"/>
          <w:sz w:val="28"/>
        </w:rPr>
        <w:t>Worked example: Northwind Industries Ltd</w:t>
      </w:r>
    </w:p>
    <w:p/>
    <w:tbl>
      <w:tblPr>
        <w:tblStyle w:val="LightGrid-Accent1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F2F4FA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Organisation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2"/>
              </w:rPr>
              <w:t>[Insert organisation name]</w:t>
            </w:r>
          </w:p>
        </w:tc>
      </w:tr>
      <w:tr>
        <w:tc>
          <w:tcPr>
            <w:tcW w:type="dxa" w:w="4320"/>
            <w:shd w:val="clear" w:color="auto" w:fill="F2F4FA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2"/>
              </w:rPr>
              <w:t>[Insert date]</w:t>
            </w:r>
          </w:p>
        </w:tc>
      </w:tr>
      <w:tr>
        <w:tc>
          <w:tcPr>
            <w:tcW w:type="dxa" w:w="4320"/>
            <w:shd w:val="clear" w:color="auto" w:fill="F2F4FA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Document owner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2"/>
              </w:rPr>
              <w:t>Solution Architect (Client)</w:t>
            </w:r>
          </w:p>
        </w:tc>
      </w:tr>
      <w:tr>
        <w:tc>
          <w:tcPr>
            <w:tcW w:type="dxa" w:w="4320"/>
            <w:shd w:val="clear" w:color="auto" w:fill="F2F4FA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Reviewers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2"/>
              </w:rPr>
              <w:t>Sponsor; Business Architect</w:t>
            </w:r>
          </w:p>
        </w:tc>
      </w:tr>
      <w:tr>
        <w:tc>
          <w:tcPr>
            <w:tcW w:type="dxa" w:w="4320"/>
            <w:shd w:val="clear" w:color="auto" w:fill="F2F4FA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Sign-off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2"/>
              </w:rPr>
              <w:t>Executive Sponsor Group</w:t>
            </w:r>
          </w:p>
        </w:tc>
      </w:tr>
      <w:tr>
        <w:tc>
          <w:tcPr>
            <w:tcW w:type="dxa" w:w="4320"/>
            <w:shd w:val="clear" w:color="auto" w:fill="F2F4FA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Classification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sz w:val="22"/>
              </w:rPr>
              <w:t>Confidential — internal</w:t>
            </w:r>
          </w:p>
        </w:tc>
      </w:tr>
    </w:tbl>
    <w:p>
      <w:r>
        <w:br w:type="page"/>
      </w:r>
    </w:p>
    <w:p>
      <w:pPr>
        <w:pStyle w:val="Heading1"/>
      </w:pPr>
      <w:r>
        <w:rPr>
          <w:color w:val="1E2761"/>
        </w:rPr>
        <w:t>Document control</w:t>
      </w:r>
    </w:p>
    <w:p>
      <w:r>
        <w:rPr>
          <w:rFonts w:ascii="Arial" w:hAnsi="Arial"/>
          <w:b w:val="0"/>
          <w:i w:val="0"/>
          <w:sz w:val="22"/>
        </w:rPr>
        <w:t>Version history and approvals.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Version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Date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Author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Approver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2"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0.1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12 Jan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S. Patel (Solution Architect)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—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Draft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0.5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26 Jan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S. Patel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Business Architect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Working draft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0.9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08 Feb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S. Patel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Sponsor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For review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1.0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21 Feb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S. Patel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Executive Sponsor Group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Approved</w:t>
            </w:r>
          </w:p>
        </w:tc>
      </w:tr>
    </w:tbl>
    <w:p/>
    <w:p>
      <w:pPr>
        <w:pStyle w:val="Heading1"/>
      </w:pPr>
      <w:r>
        <w:rPr>
          <w:color w:val="1E2761"/>
        </w:rPr>
        <w:t>Executive summary</w:t>
      </w:r>
    </w:p>
    <w:p>
      <w:r>
        <w:rPr>
          <w:rFonts w:ascii="Arial" w:hAnsi="Arial"/>
          <w:b/>
          <w:i w:val="0"/>
          <w:sz w:val="22"/>
        </w:rPr>
        <w:t>State of the estate at a glance.</w:t>
      </w:r>
    </w:p>
    <w:p>
      <w:r>
        <w:rPr>
          <w:rFonts w:ascii="Arial" w:hAnsi="Arial"/>
          <w:b w:val="0"/>
          <w:i w:val="0"/>
          <w:sz w:val="22"/>
        </w:rPr>
        <w:t>Northwind Industries operates 18 production sites across four brands, supported by six legacy ERP instances and an estimated 47 point-to-point integrations. The estate has grown by acquisition over fifteen years and shows the cost of that growth: duplicated master data, manual reconciliation between brands, and a finance close that takes nine working days. There is no single version of the customer, supplier or product.</w:t>
      </w:r>
    </w:p>
    <w:p>
      <w:r>
        <w:rPr>
          <w:rFonts w:ascii="Arial" w:hAnsi="Arial"/>
          <w:b/>
          <w:i w:val="0"/>
          <w:sz w:val="22"/>
        </w:rPr>
        <w:t>Top three constraints and dependencies.</w:t>
      </w:r>
    </w:p>
    <w:p>
      <w:r>
        <w:rPr>
          <w:rFonts w:ascii="Arial" w:hAnsi="Arial"/>
          <w:b w:val="0"/>
          <w:i w:val="0"/>
          <w:sz w:val="22"/>
        </w:rPr>
        <w:t>First, the central legacy ERP feeds eight downstream systems and cannot be retired in a single weekend cutover. Second, the regulatory reporting toolchain depends on month-end extracts that are themselves built on undocumented SQL views. Third, two of the four brands run on an unsupported platform whose vendor exits the market in eighteen months — that exit date sets the outer bound of the programme.</w:t>
      </w:r>
    </w:p>
    <w:p>
      <w:r>
        <w:rPr>
          <w:rFonts w:ascii="Arial" w:hAnsi="Arial"/>
          <w:b/>
          <w:i w:val="0"/>
          <w:sz w:val="22"/>
        </w:rPr>
        <w:t>Capability gaps the new ERP needs to close.</w:t>
      </w:r>
    </w:p>
    <w:p>
      <w:r>
        <w:rPr>
          <w:rFonts w:ascii="Arial" w:hAnsi="Arial"/>
          <w:b w:val="0"/>
          <w:i w:val="0"/>
          <w:sz w:val="22"/>
        </w:rPr>
        <w:t>Real-time stock visibility across sites, a single chart of accounts, supplier self-service, consolidated multi-brand customer reporting, and audit-grade traceability for finished goods. These are the capabilities the business has been working around with spreadsheets and after-the-fact reconciliation; they are not nice-to-haves.</w:t>
      </w:r>
    </w:p>
    <w:p>
      <w:r>
        <w:rPr>
          <w:rFonts w:ascii="Arial" w:hAnsi="Arial"/>
          <w:b/>
          <w:i w:val="0"/>
          <w:sz w:val="22"/>
        </w:rPr>
        <w:t>AS-IS readiness for transformation.</w:t>
      </w:r>
    </w:p>
    <w:p>
      <w:r>
        <w:rPr>
          <w:rFonts w:ascii="Arial" w:hAnsi="Arial"/>
          <w:b w:val="0"/>
          <w:i w:val="0"/>
          <w:sz w:val="22"/>
        </w:rPr>
        <w:t>Readiness is mixed. Finance and procurement leadership are ready and engaged. Operations is sceptical because of two prior failed implementations. IT capacity is the biggest constraint: the team running the estate today is the team that will deliver migration data to the new platform — they cannot do both at full intensity. The data is messier than leadership currently believes; we recommend a focused data-quality wave before Solution Design &amp; Full Business Case (S12) design work begins.</w:t>
      </w:r>
    </w:p>
    <w:p>
      <w:r>
        <w:rPr>
          <w:rFonts w:ascii="Arial" w:hAnsi="Arial"/>
          <w:b/>
          <w:i w:val="0"/>
          <w:sz w:val="22"/>
        </w:rPr>
        <w:t>Key risks and mitigations.</w:t>
      </w:r>
    </w:p>
    <w:p>
      <w:r>
        <w:rPr>
          <w:rFonts w:ascii="Arial" w:hAnsi="Arial"/>
          <w:b w:val="0"/>
          <w:i w:val="0"/>
          <w:sz w:val="22"/>
        </w:rPr>
        <w:t>The single largest risk is attempting a big-bang cutover across all 18 sites; the dependency tree shows this is not feasible inside the vendor exit window. We recommend a multi-wave shape with finance and one pilot brand first, then the remaining three brands sequenced by complexity. Other top risks: master-data quality below threshold for migration, integration retirement schedule slipping, and operations change-fatigue if delivery drags.</w:t>
      </w:r>
    </w:p>
    <w:p>
      <w:r>
        <w:br w:type="page"/>
      </w:r>
    </w:p>
    <w:p>
      <w:pPr>
        <w:pStyle w:val="Heading1"/>
      </w:pPr>
      <w:r>
        <w:rPr>
          <w:color w:val="1E2761"/>
        </w:rPr>
        <w:t>1. Estate overview</w:t>
      </w:r>
    </w:p>
    <w:p>
      <w:r>
        <w:rPr>
          <w:rFonts w:ascii="Arial" w:hAnsi="Arial"/>
          <w:b w:val="0"/>
          <w:i w:val="0"/>
          <w:sz w:val="22"/>
        </w:rPr>
        <w:t>This section is read alongside the companion deck “AS-IS Estate-on-a-Page.pptx”, which presents the same information as a single layered diagram. The layers below mirror the bands on that slide.</w:t>
      </w:r>
    </w:p>
    <w:p>
      <w:pPr>
        <w:pStyle w:val="Heading2"/>
      </w:pPr>
      <w:r>
        <w:rPr>
          <w:color w:val="1E2761"/>
        </w:rPr>
        <w:t>Customers and markets</w:t>
      </w:r>
    </w:p>
    <w:p>
      <w:pPr>
        <w:pStyle w:val="ListBullet"/>
      </w:pPr>
      <w:r/>
      <w:r>
        <w:rPr>
          <w:rFonts w:ascii="Arial" w:hAnsi="Arial"/>
          <w:sz w:val="22"/>
        </w:rPr>
        <w:t>B2B retail accounts (62% of revenue) — 4,200 active accounts across UK and EU.</w:t>
      </w:r>
    </w:p>
    <w:p>
      <w:pPr>
        <w:pStyle w:val="ListBullet"/>
      </w:pPr>
      <w:r/>
      <w:r>
        <w:rPr>
          <w:rFonts w:ascii="Arial" w:hAnsi="Arial"/>
          <w:sz w:val="22"/>
        </w:rPr>
        <w:t>Distributor channel (24%) — 180 distributors, EDI-driven order intake.</w:t>
      </w:r>
    </w:p>
    <w:p>
      <w:pPr>
        <w:pStyle w:val="ListBullet"/>
      </w:pPr>
      <w:r/>
      <w:r>
        <w:rPr>
          <w:rFonts w:ascii="Arial" w:hAnsi="Arial"/>
          <w:sz w:val="22"/>
        </w:rPr>
        <w:t>Direct B2C (10%) — single brand only, web storefront on legacy platform.</w:t>
      </w:r>
    </w:p>
    <w:p>
      <w:pPr>
        <w:pStyle w:val="ListBullet"/>
      </w:pPr>
      <w:r/>
      <w:r>
        <w:rPr>
          <w:rFonts w:ascii="Arial" w:hAnsi="Arial"/>
          <w:sz w:val="22"/>
        </w:rPr>
        <w:t>Marketplaces (4%) — Amazon Business, eBay Business; manual SKU sync today.</w:t>
      </w:r>
    </w:p>
    <w:p>
      <w:pPr>
        <w:pStyle w:val="Heading2"/>
      </w:pPr>
      <w:r>
        <w:rPr>
          <w:color w:val="1E2761"/>
        </w:rPr>
        <w:t>Channels</w:t>
      </w:r>
    </w:p>
    <w:p>
      <w:pPr>
        <w:pStyle w:val="ListBullet"/>
      </w:pPr>
      <w:r/>
      <w:r>
        <w:rPr>
          <w:rFonts w:ascii="Arial" w:hAnsi="Arial"/>
          <w:sz w:val="22"/>
        </w:rPr>
        <w:t>Web storefront (B2C) — bespoke build, ageing, no mobile parity.</w:t>
      </w:r>
    </w:p>
    <w:p>
      <w:pPr>
        <w:pStyle w:val="ListBullet"/>
      </w:pPr>
      <w:r/>
      <w:r>
        <w:rPr>
          <w:rFonts w:ascii="Arial" w:hAnsi="Arial"/>
          <w:sz w:val="22"/>
        </w:rPr>
        <w:t>EDI (distributors) — works, but every onboarding is a six-week custom project.</w:t>
      </w:r>
    </w:p>
    <w:p>
      <w:pPr>
        <w:pStyle w:val="ListBullet"/>
      </w:pPr>
      <w:r/>
      <w:r>
        <w:rPr>
          <w:rFonts w:ascii="Arial" w:hAnsi="Arial"/>
          <w:sz w:val="22"/>
        </w:rPr>
        <w:t>Sales rep mobile app — read-only quoting, no order capture in field.</w:t>
      </w:r>
    </w:p>
    <w:p>
      <w:pPr>
        <w:pStyle w:val="ListBullet"/>
      </w:pPr>
      <w:r/>
      <w:r>
        <w:rPr>
          <w:rFonts w:ascii="Arial" w:hAnsi="Arial"/>
          <w:sz w:val="22"/>
        </w:rPr>
        <w:t>Customer service phone and email — case management in a separate ticketing tool.</w:t>
      </w:r>
    </w:p>
    <w:p>
      <w:pPr>
        <w:pStyle w:val="ListBullet"/>
      </w:pPr>
      <w:r/>
      <w:r>
        <w:rPr>
          <w:rFonts w:ascii="Arial" w:hAnsi="Arial"/>
          <w:sz w:val="22"/>
        </w:rPr>
        <w:t>In-person trade desks at three sites — paper-based, scanned to email at end of day.</w:t>
      </w:r>
    </w:p>
    <w:p>
      <w:pPr>
        <w:pStyle w:val="Heading2"/>
      </w:pPr>
      <w:r>
        <w:rPr>
          <w:color w:val="1E2761"/>
        </w:rPr>
        <w:t>Operating processes</w:t>
      </w:r>
    </w:p>
    <w:p>
      <w:pPr>
        <w:pStyle w:val="ListBullet"/>
      </w:pPr>
      <w:r/>
      <w:r>
        <w:rPr>
          <w:rFonts w:ascii="Arial" w:hAnsi="Arial"/>
          <w:sz w:val="22"/>
        </w:rPr>
        <w:t>Order-to-Cash — fragmented; pricing held in three systems and reconciled overnight.</w:t>
      </w:r>
    </w:p>
    <w:p>
      <w:pPr>
        <w:pStyle w:val="ListBullet"/>
      </w:pPr>
      <w:r/>
      <w:r>
        <w:rPr>
          <w:rFonts w:ascii="Arial" w:hAnsi="Arial"/>
          <w:sz w:val="22"/>
        </w:rPr>
        <w:t>Procure-to-Pay — central PO raising, brand-level GRN, no supplier portal.</w:t>
      </w:r>
    </w:p>
    <w:p>
      <w:pPr>
        <w:pStyle w:val="ListBullet"/>
      </w:pPr>
      <w:r/>
      <w:r>
        <w:rPr>
          <w:rFonts w:ascii="Arial" w:hAnsi="Arial"/>
          <w:sz w:val="22"/>
        </w:rPr>
        <w:t>Plan-to-Manufacture — MRP runs nightly per site; no cross-site optimisation.</w:t>
      </w:r>
    </w:p>
    <w:p>
      <w:pPr>
        <w:pStyle w:val="ListBullet"/>
      </w:pPr>
      <w:r/>
      <w:r>
        <w:rPr>
          <w:rFonts w:ascii="Arial" w:hAnsi="Arial"/>
          <w:sz w:val="22"/>
        </w:rPr>
        <w:t>Hire-to-Retire — payroll outsourced; HR system feeds finance via month-end CSV.</w:t>
      </w:r>
    </w:p>
    <w:p>
      <w:pPr>
        <w:pStyle w:val="ListBullet"/>
      </w:pPr>
      <w:r/>
      <w:r>
        <w:rPr>
          <w:rFonts w:ascii="Arial" w:hAnsi="Arial"/>
          <w:sz w:val="22"/>
        </w:rPr>
        <w:t>Record-to-Report — nine-day close; consolidation in spreadsheets.</w:t>
      </w:r>
    </w:p>
    <w:p>
      <w:pPr>
        <w:pStyle w:val="ListBullet"/>
      </w:pPr>
      <w:r/>
      <w:r>
        <w:rPr>
          <w:rFonts w:ascii="Arial" w:hAnsi="Arial"/>
          <w:sz w:val="22"/>
        </w:rPr>
        <w:t>Customer service — separate tooling, weak case-to-order linkage.</w:t>
      </w:r>
    </w:p>
    <w:p>
      <w:pPr>
        <w:pStyle w:val="Heading2"/>
      </w:pPr>
      <w:r>
        <w:rPr>
          <w:color w:val="1E2761"/>
        </w:rPr>
        <w:t>Master data</w:t>
      </w:r>
    </w:p>
    <w:p>
      <w:pPr>
        <w:pStyle w:val="ListBullet"/>
      </w:pPr>
      <w:r/>
      <w:r>
        <w:rPr>
          <w:rFonts w:ascii="Arial" w:hAnsi="Arial"/>
          <w:sz w:val="22"/>
        </w:rPr>
        <w:t>Customers — 84,000 records across instances; ~12% suspected duplicates.</w:t>
      </w:r>
    </w:p>
    <w:p>
      <w:pPr>
        <w:pStyle w:val="ListBullet"/>
      </w:pPr>
      <w:r/>
      <w:r>
        <w:rPr>
          <w:rFonts w:ascii="Arial" w:hAnsi="Arial"/>
          <w:sz w:val="22"/>
        </w:rPr>
        <w:t>Products — 31,500 active SKUs; brand-level coding, no group hierarchy.</w:t>
      </w:r>
    </w:p>
    <w:p>
      <w:pPr>
        <w:pStyle w:val="ListBullet"/>
      </w:pPr>
      <w:r/>
      <w:r>
        <w:rPr>
          <w:rFonts w:ascii="Arial" w:hAnsi="Arial"/>
          <w:sz w:val="22"/>
        </w:rPr>
        <w:t>Suppliers — 6,800 records; ~18% duplicates; no centralised onboarding.</w:t>
      </w:r>
    </w:p>
    <w:p>
      <w:pPr>
        <w:pStyle w:val="ListBullet"/>
      </w:pPr>
      <w:r/>
      <w:r>
        <w:rPr>
          <w:rFonts w:ascii="Arial" w:hAnsi="Arial"/>
          <w:sz w:val="22"/>
        </w:rPr>
        <w:t>Employees — 2,600 records; HR system authoritative, but cost-centre coding drifts.</w:t>
      </w:r>
    </w:p>
    <w:p>
      <w:pPr>
        <w:pStyle w:val="ListBullet"/>
      </w:pPr>
      <w:r/>
      <w:r>
        <w:rPr>
          <w:rFonts w:ascii="Arial" w:hAnsi="Arial"/>
          <w:sz w:val="22"/>
        </w:rPr>
        <w:t>GL and cost centres — 1,247 GL codes, ~30% suspected duplicates from acquisition heritage.</w:t>
      </w:r>
    </w:p>
    <w:p>
      <w:pPr>
        <w:pStyle w:val="Heading2"/>
      </w:pPr>
      <w:r>
        <w:rPr>
          <w:color w:val="1E2761"/>
        </w:rPr>
        <w:t>Platforms</w:t>
      </w:r>
    </w:p>
    <w:p>
      <w:pPr>
        <w:pStyle w:val="ListBullet"/>
      </w:pPr>
      <w:r/>
      <w:r>
        <w:rPr>
          <w:rFonts w:ascii="Arial" w:hAnsi="Arial"/>
          <w:sz w:val="22"/>
        </w:rPr>
        <w:t>Six legacy ERPs (one per acquired brand plus two regional instances) — RETIRE.</w:t>
      </w:r>
    </w:p>
    <w:p>
      <w:pPr>
        <w:pStyle w:val="ListBullet"/>
      </w:pPr>
      <w:r/>
      <w:r>
        <w:rPr>
          <w:rFonts w:ascii="Arial" w:hAnsi="Arial"/>
          <w:sz w:val="22"/>
        </w:rPr>
        <w:t>CRM (mid-market SaaS) — KEEP, but rationalise duplicate accounts.</w:t>
      </w:r>
    </w:p>
    <w:p>
      <w:pPr>
        <w:pStyle w:val="ListBullet"/>
      </w:pPr>
      <w:r/>
      <w:r>
        <w:rPr>
          <w:rFonts w:ascii="Arial" w:hAnsi="Arial"/>
          <w:sz w:val="22"/>
        </w:rPr>
        <w:t>Warehouse management at three large sites — KEEP, integrate cleanly.</w:t>
      </w:r>
    </w:p>
    <w:p>
      <w:pPr>
        <w:pStyle w:val="ListBullet"/>
      </w:pPr>
      <w:r/>
      <w:r>
        <w:rPr>
          <w:rFonts w:ascii="Arial" w:hAnsi="Arial"/>
          <w:sz w:val="22"/>
        </w:rPr>
        <w:t>HR information system — KEEP, integration to be re-pointed.</w:t>
      </w:r>
    </w:p>
    <w:p>
      <w:pPr>
        <w:pStyle w:val="ListBullet"/>
      </w:pPr>
      <w:r/>
      <w:r>
        <w:rPr>
          <w:rFonts w:ascii="Arial" w:hAnsi="Arial"/>
          <w:sz w:val="22"/>
        </w:rPr>
        <w:t>Finance reporting and consolidation tool — REPLACE with new ERP native reporting.</w:t>
      </w:r>
    </w:p>
    <w:p>
      <w:pPr>
        <w:pStyle w:val="ListBullet"/>
      </w:pPr>
      <w:r/>
      <w:r>
        <w:rPr>
          <w:rFonts w:ascii="Arial" w:hAnsi="Arial"/>
          <w:sz w:val="22"/>
        </w:rPr>
        <w:t>Bespoke pricing engine — RETIRE; logic moves into new ERP.</w:t>
      </w:r>
    </w:p>
    <w:p>
      <w:pPr>
        <w:pStyle w:val="Heading2"/>
      </w:pPr>
      <w:r>
        <w:rPr>
          <w:color w:val="1E2761"/>
        </w:rPr>
        <w:t>Infrastructure</w:t>
      </w:r>
    </w:p>
    <w:p>
      <w:pPr>
        <w:pStyle w:val="ListBullet"/>
      </w:pPr>
      <w:r/>
      <w:r>
        <w:rPr>
          <w:rFonts w:ascii="Arial" w:hAnsi="Arial"/>
          <w:sz w:val="22"/>
        </w:rPr>
        <w:t>Two on-premise data centres (primary and DR) — exit planned by end of programme.</w:t>
      </w:r>
    </w:p>
    <w:p>
      <w:pPr>
        <w:pStyle w:val="ListBullet"/>
      </w:pPr>
      <w:r/>
      <w:r>
        <w:rPr>
          <w:rFonts w:ascii="Arial" w:hAnsi="Arial"/>
          <w:sz w:val="22"/>
        </w:rPr>
        <w:t>Hybrid cloud footprint, predominantly one major provider.</w:t>
      </w:r>
    </w:p>
    <w:p>
      <w:pPr>
        <w:pStyle w:val="ListBullet"/>
      </w:pPr>
      <w:r/>
      <w:r>
        <w:rPr>
          <w:rFonts w:ascii="Arial" w:hAnsi="Arial"/>
          <w:sz w:val="22"/>
        </w:rPr>
        <w:t>MPLS network linking sites; bandwidth adequate for cloud ERP cutover.</w:t>
      </w:r>
    </w:p>
    <w:p>
      <w:pPr>
        <w:pStyle w:val="ListBullet"/>
      </w:pPr>
      <w:r/>
      <w:r>
        <w:rPr>
          <w:rFonts w:ascii="Arial" w:hAnsi="Arial"/>
          <w:sz w:val="22"/>
        </w:rPr>
        <w:t>Identity managed centrally; SSO available for the new platform.</w:t>
      </w:r>
    </w:p>
    <w:p>
      <w:r>
        <w:br w:type="page"/>
      </w:r>
    </w:p>
    <w:p>
      <w:pPr>
        <w:pStyle w:val="Heading1"/>
      </w:pPr>
      <w:r>
        <w:rPr>
          <w:color w:val="1E2761"/>
        </w:rPr>
        <w:t>2. Integration landscape</w:t>
      </w:r>
    </w:p>
    <w:p>
      <w:r>
        <w:rPr>
          <w:rFonts w:ascii="Arial" w:hAnsi="Arial"/>
          <w:b w:val="0"/>
          <w:i w:val="0"/>
          <w:sz w:val="22"/>
        </w:rPr>
        <w:t>This section is read alongside “AS-IS Integration-on-a-Page.pptx”. Northwind has 47 documented integrations; we expect ten to fifteen further undocumented ones to surface during Discovery (S11) discovery.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Category</w:t>
            </w:r>
          </w:p>
        </w:tc>
        <w:tc>
          <w:tcPr>
            <w:tcW w:type="dxa" w:w="144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Count</w:t>
            </w:r>
          </w:p>
        </w:tc>
        <w:tc>
          <w:tcPr>
            <w:tcW w:type="dxa" w:w="144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Traffic volume</w:t>
            </w:r>
          </w:p>
        </w:tc>
        <w:tc>
          <w:tcPr>
            <w:tcW w:type="dxa" w:w="144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Reliability</w:t>
            </w:r>
          </w:p>
        </w:tc>
        <w:tc>
          <w:tcPr>
            <w:tcW w:type="dxa" w:w="144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Retirement candidates</w:t>
            </w:r>
          </w:p>
        </w:tc>
        <w:tc>
          <w:tcPr>
            <w:tcW w:type="dxa" w:w="144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Replacement strategy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Real-time interfaces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~180k tx/day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 — two flaky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Re-platform onto new ERP API surface.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Batch interfaces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23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~640 jobs/day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Amber — overnight window tight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15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Consolidate via new ERP scheduler; standardise file formats.</w:t>
            </w:r>
          </w:p>
        </w:tc>
      </w:tr>
      <w:tr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Manual / file-based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12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~80 files/week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Red — error-prone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type="dxa" w:w="1440"/>
          </w:tcPr>
          <w:p>
            <w:r>
              <w:rPr>
                <w:rFonts w:ascii="Arial" w:hAnsi="Arial"/>
                <w:sz w:val="20"/>
              </w:rPr>
              <w:t>Eliminate via portal or self-service; retain two for third-party constraints.</w:t>
            </w:r>
          </w:p>
        </w:tc>
      </w:tr>
    </w:tbl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/>
          <w:i w:val="0"/>
          <w:sz w:val="22"/>
        </w:rPr>
        <w:t>Per-category commentary.</w:t>
      </w:r>
    </w:p>
    <w:p>
      <w:pPr>
        <w:pStyle w:val="ListBullet"/>
      </w:pPr>
      <w:r/>
      <w:r>
        <w:rPr>
          <w:rFonts w:ascii="Arial" w:hAnsi="Arial"/>
          <w:sz w:val="22"/>
        </w:rPr>
        <w:t>Real-time interfaces — the CRM-to-ERP customer sync and the marketplace order intake are the two flaky links; both are first-wave fixes.</w:t>
      </w:r>
    </w:p>
    <w:p>
      <w:pPr>
        <w:pStyle w:val="ListBullet"/>
      </w:pPr>
      <w:r/>
      <w:r>
        <w:rPr>
          <w:rFonts w:ascii="Arial" w:hAnsi="Arial"/>
          <w:sz w:val="22"/>
        </w:rPr>
        <w:t>Batch interfaces — overnight window currently runs 22:00 to 04:30 with no slack. Any new ERP must reduce dependency on overnight reconciliation.</w:t>
      </w:r>
    </w:p>
    <w:p>
      <w:pPr>
        <w:pStyle w:val="ListBullet"/>
      </w:pPr>
      <w:r/>
      <w:r>
        <w:rPr>
          <w:rFonts w:ascii="Arial" w:hAnsi="Arial"/>
          <w:sz w:val="22"/>
        </w:rPr>
        <w:t>Manual file-based — the bank reconciliation upload and the payroll-to-finance journal post are the highest-risk in this category. Retire both.</w:t>
      </w:r>
    </w:p>
    <w:p>
      <w:r>
        <w:br w:type="page"/>
      </w:r>
    </w:p>
    <w:p>
      <w:pPr>
        <w:pStyle w:val="Heading1"/>
      </w:pPr>
      <w:r>
        <w:rPr>
          <w:color w:val="1E2761"/>
        </w:rPr>
        <w:t>3. Capability assessment</w:t>
      </w:r>
    </w:p>
    <w:p>
      <w:r>
        <w:rPr>
          <w:rFonts w:ascii="Arial" w:hAnsi="Arial"/>
          <w:b w:val="0"/>
          <w:i w:val="0"/>
          <w:sz w:val="22"/>
        </w:rPr>
        <w:t>This section is read alongside “AS-IS Capability Heatmap.pptx”. Each business function is rated against target capability for the new ERP. The headline finding is that current capability is amber-or-red across the majority of the grid — this is normal for a pre-transformation estate but quantifies the size of the change.</w:t>
      </w:r>
    </w:p>
    <w:p>
      <w:pPr>
        <w:pStyle w:val="Heading2"/>
      </w:pPr>
      <w:r>
        <w:rPr>
          <w:color w:val="1E2761"/>
        </w:rPr>
        <w:t>Finance</w:t>
      </w:r>
    </w:p>
    <w:p>
      <w:r>
        <w:rPr>
          <w:rFonts w:ascii="Arial" w:hAnsi="Arial"/>
          <w:b w:val="0"/>
          <w:i w:val="0"/>
          <w:sz w:val="22"/>
        </w:rPr>
        <w:t>Top three capability gaps:</w:t>
      </w:r>
    </w:p>
    <w:p>
      <w:pPr>
        <w:pStyle w:val="ListBullet"/>
      </w:pPr>
      <w:r/>
      <w:r>
        <w:rPr>
          <w:rFonts w:ascii="Arial" w:hAnsi="Arial"/>
          <w:sz w:val="22"/>
        </w:rPr>
        <w:t>Multi-entity consolidation runs in spreadsheets — gap.</w:t>
      </w:r>
    </w:p>
    <w:p>
      <w:pPr>
        <w:pStyle w:val="ListBullet"/>
      </w:pPr>
      <w:r/>
      <w:r>
        <w:rPr>
          <w:rFonts w:ascii="Arial" w:hAnsi="Arial"/>
          <w:sz w:val="22"/>
        </w:rPr>
        <w:t>Chart of accounts not unified across brands — gap.</w:t>
      </w:r>
    </w:p>
    <w:p>
      <w:pPr>
        <w:pStyle w:val="ListBullet"/>
      </w:pPr>
      <w:r/>
      <w:r>
        <w:rPr>
          <w:rFonts w:ascii="Arial" w:hAnsi="Arial"/>
          <w:sz w:val="22"/>
        </w:rPr>
        <w:t>Audit trail patchy across legacy GLs — gap.</w:t>
      </w:r>
    </w:p>
    <w:p>
      <w:pPr>
        <w:pStyle w:val="Heading2"/>
      </w:pPr>
      <w:r>
        <w:rPr>
          <w:color w:val="1E2761"/>
        </w:rPr>
        <w:t>Supply chain</w:t>
      </w:r>
    </w:p>
    <w:p>
      <w:r>
        <w:rPr>
          <w:rFonts w:ascii="Arial" w:hAnsi="Arial"/>
          <w:b w:val="0"/>
          <w:i w:val="0"/>
          <w:sz w:val="22"/>
        </w:rPr>
        <w:t>Top three capability gaps:</w:t>
      </w:r>
    </w:p>
    <w:p>
      <w:pPr>
        <w:pStyle w:val="ListBullet"/>
      </w:pPr>
      <w:r/>
      <w:r>
        <w:rPr>
          <w:rFonts w:ascii="Arial" w:hAnsi="Arial"/>
          <w:sz w:val="22"/>
        </w:rPr>
        <w:t>No real-time stock visibility across sites — gap.</w:t>
      </w:r>
    </w:p>
    <w:p>
      <w:pPr>
        <w:pStyle w:val="ListBullet"/>
      </w:pPr>
      <w:r/>
      <w:r>
        <w:rPr>
          <w:rFonts w:ascii="Arial" w:hAnsi="Arial"/>
          <w:sz w:val="22"/>
        </w:rPr>
        <w:t>Demand planning sits outside ERP, in a standalone tool — gap.</w:t>
      </w:r>
    </w:p>
    <w:p>
      <w:pPr>
        <w:pStyle w:val="ListBullet"/>
      </w:pPr>
      <w:r/>
      <w:r>
        <w:rPr>
          <w:rFonts w:ascii="Arial" w:hAnsi="Arial"/>
          <w:sz w:val="22"/>
        </w:rPr>
        <w:t>Inter-site transfers reconciled manually — gap.</w:t>
      </w:r>
    </w:p>
    <w:p>
      <w:pPr>
        <w:pStyle w:val="Heading2"/>
      </w:pPr>
      <w:r>
        <w:rPr>
          <w:color w:val="1E2761"/>
        </w:rPr>
        <w:t>Procurement</w:t>
      </w:r>
    </w:p>
    <w:p>
      <w:r>
        <w:rPr>
          <w:rFonts w:ascii="Arial" w:hAnsi="Arial"/>
          <w:b w:val="0"/>
          <w:i w:val="0"/>
          <w:sz w:val="22"/>
        </w:rPr>
        <w:t>Top three capability gaps:</w:t>
      </w:r>
    </w:p>
    <w:p>
      <w:pPr>
        <w:pStyle w:val="ListBullet"/>
      </w:pPr>
      <w:r/>
      <w:r>
        <w:rPr>
          <w:rFonts w:ascii="Arial" w:hAnsi="Arial"/>
          <w:sz w:val="22"/>
        </w:rPr>
        <w:t>No supplier self-service portal — gap.</w:t>
      </w:r>
    </w:p>
    <w:p>
      <w:pPr>
        <w:pStyle w:val="ListBullet"/>
      </w:pPr>
      <w:r/>
      <w:r>
        <w:rPr>
          <w:rFonts w:ascii="Arial" w:hAnsi="Arial"/>
          <w:sz w:val="22"/>
        </w:rPr>
        <w:t>PO approval workflow inconsistent between brands — gap.</w:t>
      </w:r>
    </w:p>
    <w:p>
      <w:pPr>
        <w:pStyle w:val="ListBullet"/>
      </w:pPr>
      <w:r/>
      <w:r>
        <w:rPr>
          <w:rFonts w:ascii="Arial" w:hAnsi="Arial"/>
          <w:sz w:val="22"/>
        </w:rPr>
        <w:t>Spend analytics built quarterly in spreadsheets — gap.</w:t>
      </w:r>
    </w:p>
    <w:p>
      <w:pPr>
        <w:pStyle w:val="Heading2"/>
      </w:pPr>
      <w:r>
        <w:rPr>
          <w:color w:val="1E2761"/>
        </w:rPr>
        <w:t>HR</w:t>
      </w:r>
    </w:p>
    <w:p>
      <w:r>
        <w:rPr>
          <w:rFonts w:ascii="Arial" w:hAnsi="Arial"/>
          <w:b w:val="0"/>
          <w:i w:val="0"/>
          <w:sz w:val="22"/>
        </w:rPr>
        <w:t>Top three capability gaps:</w:t>
      </w:r>
    </w:p>
    <w:p>
      <w:pPr>
        <w:pStyle w:val="ListBullet"/>
      </w:pPr>
      <w:r/>
      <w:r>
        <w:rPr>
          <w:rFonts w:ascii="Arial" w:hAnsi="Arial"/>
          <w:sz w:val="22"/>
        </w:rPr>
        <w:t>Manager self-service partial; mobile not supported — gap.</w:t>
      </w:r>
    </w:p>
    <w:p>
      <w:pPr>
        <w:pStyle w:val="ListBullet"/>
      </w:pPr>
      <w:r/>
      <w:r>
        <w:rPr>
          <w:rFonts w:ascii="Arial" w:hAnsi="Arial"/>
          <w:sz w:val="22"/>
        </w:rPr>
        <w:t>Training records held outside core HR — gap.</w:t>
      </w:r>
    </w:p>
    <w:p>
      <w:pPr>
        <w:pStyle w:val="ListBullet"/>
      </w:pPr>
      <w:r/>
      <w:r>
        <w:rPr>
          <w:rFonts w:ascii="Arial" w:hAnsi="Arial"/>
          <w:sz w:val="22"/>
        </w:rPr>
        <w:t>Cost-centre coding drifts between HR and finance — gap.</w:t>
      </w:r>
    </w:p>
    <w:p>
      <w:pPr>
        <w:pStyle w:val="Heading2"/>
      </w:pPr>
      <w:r>
        <w:rPr>
          <w:color w:val="1E2761"/>
        </w:rPr>
        <w:t>Operations</w:t>
      </w:r>
    </w:p>
    <w:p>
      <w:r>
        <w:rPr>
          <w:rFonts w:ascii="Arial" w:hAnsi="Arial"/>
          <w:b w:val="0"/>
          <w:i w:val="0"/>
          <w:sz w:val="22"/>
        </w:rPr>
        <w:t>Top three capability gaps:</w:t>
      </w:r>
    </w:p>
    <w:p>
      <w:pPr>
        <w:pStyle w:val="ListBullet"/>
      </w:pPr>
      <w:r/>
      <w:r>
        <w:rPr>
          <w:rFonts w:ascii="Arial" w:hAnsi="Arial"/>
          <w:sz w:val="22"/>
        </w:rPr>
        <w:t>Shop-floor data capture paper-based at smaller sites — gap.</w:t>
      </w:r>
    </w:p>
    <w:p>
      <w:pPr>
        <w:pStyle w:val="ListBullet"/>
      </w:pPr>
      <w:r/>
      <w:r>
        <w:rPr>
          <w:rFonts w:ascii="Arial" w:hAnsi="Arial"/>
          <w:sz w:val="22"/>
        </w:rPr>
        <w:t>Cycle-time reporting weekly, not real-time — gap.</w:t>
      </w:r>
    </w:p>
    <w:p>
      <w:pPr>
        <w:pStyle w:val="ListBullet"/>
      </w:pPr>
      <w:r/>
      <w:r>
        <w:rPr>
          <w:rFonts w:ascii="Arial" w:hAnsi="Arial"/>
          <w:sz w:val="22"/>
        </w:rPr>
        <w:t>Quality records not linked to batch records — gap.</w:t>
      </w:r>
    </w:p>
    <w:p>
      <w:pPr>
        <w:pStyle w:val="Heading2"/>
      </w:pPr>
      <w:r>
        <w:rPr>
          <w:color w:val="1E2761"/>
        </w:rPr>
        <w:t>Customer service</w:t>
      </w:r>
    </w:p>
    <w:p>
      <w:r>
        <w:rPr>
          <w:rFonts w:ascii="Arial" w:hAnsi="Arial"/>
          <w:b w:val="0"/>
          <w:i w:val="0"/>
          <w:sz w:val="22"/>
        </w:rPr>
        <w:t>Top three capability gaps:</w:t>
      </w:r>
    </w:p>
    <w:p>
      <w:pPr>
        <w:pStyle w:val="ListBullet"/>
      </w:pPr>
      <w:r/>
      <w:r>
        <w:rPr>
          <w:rFonts w:ascii="Arial" w:hAnsi="Arial"/>
          <w:sz w:val="22"/>
        </w:rPr>
        <w:t>Cases not linked to orders or shipments — gap.</w:t>
      </w:r>
    </w:p>
    <w:p>
      <w:pPr>
        <w:pStyle w:val="ListBullet"/>
      </w:pPr>
      <w:r/>
      <w:r>
        <w:rPr>
          <w:rFonts w:ascii="Arial" w:hAnsi="Arial"/>
          <w:sz w:val="22"/>
        </w:rPr>
        <w:t>No single view of customer across brands — gap.</w:t>
      </w:r>
    </w:p>
    <w:p>
      <w:pPr>
        <w:pStyle w:val="ListBullet"/>
      </w:pPr>
      <w:r/>
      <w:r>
        <w:rPr>
          <w:rFonts w:ascii="Arial" w:hAnsi="Arial"/>
          <w:sz w:val="22"/>
        </w:rPr>
        <w:t>Returns process manual end-to-end — gap.</w:t>
      </w:r>
    </w:p>
    <w:p>
      <w:r>
        <w:br w:type="page"/>
      </w:r>
    </w:p>
    <w:p>
      <w:pPr>
        <w:pStyle w:val="Heading1"/>
      </w:pPr>
      <w:r>
        <w:rPr>
          <w:color w:val="1E2761"/>
        </w:rPr>
        <w:t>4. Dependencies and constraints</w:t>
      </w:r>
    </w:p>
    <w:p>
      <w:r>
        <w:rPr>
          <w:rFonts w:ascii="Arial" w:hAnsi="Arial"/>
          <w:b w:val="0"/>
          <w:i w:val="0"/>
          <w:sz w:val="22"/>
        </w:rPr>
        <w:t>This section is read alongside “AS-IS Dependency Tree.pptx”. The tree groups systems into Retire, Replace and Keep, and shows what each one depends on or feeds.</w:t>
      </w:r>
    </w:p>
    <w:p>
      <w:pPr>
        <w:pStyle w:val="Heading2"/>
      </w:pPr>
      <w:r>
        <w:rPr>
          <w:color w:val="1E2761"/>
        </w:rPr>
        <w:t>Legacy systems to retire</w:t>
      </w:r>
    </w:p>
    <w:p>
      <w:pPr>
        <w:pStyle w:val="ListBullet"/>
      </w:pPr>
      <w:r/>
      <w:r>
        <w:rPr>
          <w:rFonts w:ascii="Arial" w:hAnsi="Arial"/>
          <w:sz w:val="22"/>
        </w:rPr>
        <w:t>Six legacy ERPs (one per brand plus two regional instances) — together feed 31 of the 47 integrations.</w:t>
      </w:r>
    </w:p>
    <w:p>
      <w:pPr>
        <w:pStyle w:val="ListBullet"/>
      </w:pPr>
      <w:r/>
      <w:r>
        <w:rPr>
          <w:rFonts w:ascii="Arial" w:hAnsi="Arial"/>
          <w:sz w:val="22"/>
        </w:rPr>
        <w:t>Bespoke pricing engine — depends on legacy customer master; logic must be re-implemented before retirement.</w:t>
      </w:r>
    </w:p>
    <w:p>
      <w:pPr>
        <w:pStyle w:val="ListBullet"/>
      </w:pPr>
      <w:r/>
      <w:r>
        <w:rPr>
          <w:rFonts w:ascii="Arial" w:hAnsi="Arial"/>
          <w:sz w:val="22"/>
        </w:rPr>
        <w:t>Standalone consolidation spreadsheet stack — eliminated by new ERP native reporting.</w:t>
      </w:r>
    </w:p>
    <w:p>
      <w:r>
        <w:rPr>
          <w:rFonts w:ascii="Arial" w:hAnsi="Arial"/>
          <w:b w:val="0"/>
          <w:i/>
          <w:sz w:val="22"/>
        </w:rPr>
        <w:t>Worked example: the legacy ERP at the Doncaster site feeds the WMS, the pricing engine, the consolidation tool, two EDI links, and the bank file generator. Retiring it is a six-system co-ordination, not a single switch.</w:t>
      </w:r>
    </w:p>
    <w:p>
      <w:pPr>
        <w:pStyle w:val="Heading2"/>
      </w:pPr>
      <w:r>
        <w:rPr>
          <w:color w:val="1E2761"/>
        </w:rPr>
        <w:t>Systems that must remain</w:t>
      </w:r>
    </w:p>
    <w:p>
      <w:pPr>
        <w:pStyle w:val="ListBullet"/>
      </w:pPr>
      <w:r/>
      <w:r>
        <w:rPr>
          <w:rFonts w:ascii="Arial" w:hAnsi="Arial"/>
          <w:sz w:val="22"/>
        </w:rPr>
        <w:t>CRM — KEEP. Integration to be re-pointed to new ERP customer master.</w:t>
      </w:r>
    </w:p>
    <w:p>
      <w:pPr>
        <w:pStyle w:val="ListBullet"/>
      </w:pPr>
      <w:r/>
      <w:r>
        <w:rPr>
          <w:rFonts w:ascii="Arial" w:hAnsi="Arial"/>
          <w:sz w:val="22"/>
        </w:rPr>
        <w:t>Warehouse management at three large sites — KEEP. Re-implementing would breach operations risk appetite.</w:t>
      </w:r>
    </w:p>
    <w:p>
      <w:pPr>
        <w:pStyle w:val="ListBullet"/>
      </w:pPr>
      <w:r/>
      <w:r>
        <w:rPr>
          <w:rFonts w:ascii="Arial" w:hAnsi="Arial"/>
          <w:sz w:val="22"/>
        </w:rPr>
        <w:t>HR information system — KEEP. Re-point payroll and finance feeds.</w:t>
      </w:r>
    </w:p>
    <w:p>
      <w:r>
        <w:rPr>
          <w:rFonts w:ascii="Arial" w:hAnsi="Arial"/>
          <w:b w:val="0"/>
          <w:i/>
          <w:sz w:val="22"/>
        </w:rPr>
        <w:t>Worked example: the WMS at the Birmingham distribution centre processes 28,000 lines a day; replacement is out of scope for this programme. Integration design must protect that throughput across cutover.</w:t>
      </w:r>
    </w:p>
    <w:p>
      <w:pPr>
        <w:pStyle w:val="Heading2"/>
      </w:pPr>
      <w:r>
        <w:rPr>
          <w:color w:val="1E2761"/>
        </w:rPr>
        <w:t>Regulatory and compliance dependencies</w:t>
      </w:r>
    </w:p>
    <w:p>
      <w:pPr>
        <w:pStyle w:val="ListBullet"/>
      </w:pPr>
      <w:r/>
      <w:r>
        <w:rPr>
          <w:rFonts w:ascii="Arial" w:hAnsi="Arial"/>
          <w:sz w:val="22"/>
        </w:rPr>
        <w:t>HMRC Making Tax Digital — VAT submission flow must remain certified through and after cutover.</w:t>
      </w:r>
    </w:p>
    <w:p>
      <w:pPr>
        <w:pStyle w:val="ListBullet"/>
      </w:pPr>
      <w:r/>
      <w:r>
        <w:rPr>
          <w:rFonts w:ascii="Arial" w:hAnsi="Arial"/>
          <w:sz w:val="22"/>
        </w:rPr>
        <w:t>Industry traceability requirement — finished-goods batch records must be migrated, not summarised.</w:t>
      </w:r>
    </w:p>
    <w:p>
      <w:pPr>
        <w:pStyle w:val="ListBullet"/>
      </w:pPr>
      <w:r/>
      <w:r>
        <w:rPr>
          <w:rFonts w:ascii="Arial" w:hAnsi="Arial"/>
          <w:sz w:val="22"/>
        </w:rPr>
        <w:t>Data protection — legacy customer data with consent flags must migrate with consent intact, not re-set.</w:t>
      </w:r>
    </w:p>
    <w:p>
      <w:r>
        <w:rPr>
          <w:rFonts w:ascii="Arial" w:hAnsi="Arial"/>
          <w:b w:val="0"/>
          <w:i/>
          <w:sz w:val="22"/>
        </w:rPr>
        <w:t>Worked example: traceability records currently sit in three places (legacy ERP, bespoke quality tool, paper batch sheets). Migration approach must consolidate without losing the audit chain.</w:t>
      </w:r>
    </w:p>
    <w:p>
      <w:r>
        <w:br w:type="page"/>
      </w:r>
    </w:p>
    <w:p>
      <w:pPr>
        <w:pStyle w:val="Heading1"/>
      </w:pPr>
      <w:r>
        <w:rPr>
          <w:color w:val="1E2761"/>
        </w:rPr>
        <w:t>5. Data quality snapshot</w:t>
      </w:r>
    </w:p>
    <w:p>
      <w:r>
        <w:rPr>
          <w:rFonts w:ascii="Arial" w:hAnsi="Arial"/>
          <w:b w:val="0"/>
          <w:i w:val="0"/>
          <w:sz w:val="22"/>
        </w:rPr>
        <w:t>Headline state of master-data hygiene per domain. Numbers are first-pass estimates from initial profiling; S11 discovery will refine them.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Domain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Volume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Known issues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Suspected duplicates</w:t>
            </w:r>
          </w:p>
        </w:tc>
        <w:tc>
          <w:tcPr>
            <w:tcW w:type="dxa" w:w="1728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Action plan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Customers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84,000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Inconsistent address formatting; six brand-local segmentations.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~12%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De-duplicate; agree group segmentation; cleanse before migration.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Suppliers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6,800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Multiple records for same legal entity; bank details not centrally validated.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~18%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Consolidate; validate bank details; introduce supplier portal.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Products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31,500 SKUs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No group hierarchy; brand-local coding; obsolete SKUs not flagged.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~8%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Build group hierarchy; flag and archive obsolete SKUs; re-code.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Employees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2,600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Cost-centre drift between HR and finance; training records external.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~2%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Reconcile cost-centre mapping; bring training records inside HR scope.</w:t>
            </w:r>
          </w:p>
        </w:tc>
      </w:tr>
      <w:tr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GL and cost centres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1,247 codes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Acquisition-era duplicates; descriptions inconsistent; mapping logic in spreadsheets.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~30%</w:t>
            </w:r>
          </w:p>
        </w:tc>
        <w:tc>
          <w:tcPr>
            <w:tcW w:type="dxa" w:w="1728"/>
          </w:tcPr>
          <w:p>
            <w:r>
              <w:rPr>
                <w:rFonts w:ascii="Arial" w:hAnsi="Arial"/>
                <w:sz w:val="20"/>
              </w:rPr>
              <w:t>Build target chart of accounts; map old to new; retire duplicates.</w:t>
            </w:r>
          </w:p>
        </w:tc>
      </w:tr>
    </w:tbl>
    <w:p/>
    <w:p>
      <w:r>
        <w:rPr>
          <w:rFonts w:ascii="Arial" w:hAnsi="Arial"/>
          <w:b w:val="0"/>
          <w:i w:val="0"/>
          <w:sz w:val="22"/>
        </w:rPr>
        <w:t>Recommendation: a focused data-quality wave runs in parallel with Solution Design and Full Business Case (S12). Migration readiness is the single best leading indicator of cutover risk and should be tracked from now.</w:t>
      </w:r>
    </w:p>
    <w:p>
      <w:r>
        <w:br w:type="page"/>
      </w:r>
    </w:p>
    <w:p>
      <w:pPr>
        <w:pStyle w:val="Heading1"/>
      </w:pPr>
      <w:r>
        <w:rPr>
          <w:color w:val="1E2761"/>
        </w:rPr>
        <w:t>6. Risks and recommendations</w:t>
      </w:r>
    </w:p>
    <w:p>
      <w:pPr>
        <w:pStyle w:val="Heading2"/>
      </w:pPr>
      <w:r>
        <w:rPr>
          <w:color w:val="1E2761"/>
        </w:rPr>
        <w:t>Top five enterprise-architecture risks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#</w:t>
            </w:r>
          </w:p>
        </w:tc>
        <w:tc>
          <w:tcPr>
            <w:tcW w:type="dxa" w:w="216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Risk</w:t>
            </w:r>
          </w:p>
        </w:tc>
        <w:tc>
          <w:tcPr>
            <w:tcW w:type="dxa" w:w="216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Impact</w:t>
            </w:r>
          </w:p>
        </w:tc>
        <w:tc>
          <w:tcPr>
            <w:tcW w:type="dxa" w:w="216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Mitigation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Big-bang cutover across all 18 sites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Programme failure; vendor exit window missed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Adopt multi-wave shape; finance and pilot brand first.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Master data quality below migration threshold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Cutover delayed; bad data in new platform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Data-quality wave starts in S12; clear pass/fail gates.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IT capacity stretched between run and migrate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Slippage; staff burnout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Backfill run-the-business roles; ring-fence migration team.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Integration retirement schedule slips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Old and new platforms run in parallel longer than planned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Retirement plan owned by Solution Architect; gated review each wave.</w:t>
            </w:r>
          </w:p>
        </w:tc>
      </w:tr>
      <w:tr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Operations change fatigue from prior failed projects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Adoption resistance; benefit realisation underperforms</w:t>
            </w:r>
          </w:p>
        </w:tc>
        <w:tc>
          <w:tcPr>
            <w:tcW w:type="dxa" w:w="2160"/>
          </w:tcPr>
          <w:p>
            <w:r>
              <w:rPr>
                <w:rFonts w:ascii="Arial" w:hAnsi="Arial"/>
                <w:sz w:val="20"/>
              </w:rPr>
              <w:t>Visible early wins in pilot brand; communications and engagement plan from S10.</w:t>
            </w:r>
          </w:p>
        </w:tc>
      </w:tr>
    </w:tbl>
    <w:p>
      <w:pPr>
        <w:pStyle w:val="Heading2"/>
      </w:pPr>
      <w:r>
        <w:rPr>
          <w:color w:val="1E2761"/>
        </w:rPr>
        <w:t>Recommended sequencing</w:t>
      </w:r>
    </w:p>
    <w:p>
      <w:pPr>
        <w:pStyle w:val="ListBullet"/>
      </w:pPr>
      <w:r/>
      <w:r>
        <w:rPr>
          <w:rFonts w:ascii="Arial" w:hAnsi="Arial"/>
          <w:sz w:val="22"/>
        </w:rPr>
        <w:t>First: data quality, target chart of accounts, integration retirement plan.</w:t>
      </w:r>
    </w:p>
    <w:p>
      <w:pPr>
        <w:pStyle w:val="ListBullet"/>
      </w:pPr>
      <w:r/>
      <w:r>
        <w:rPr>
          <w:rFonts w:ascii="Arial" w:hAnsi="Arial"/>
          <w:sz w:val="22"/>
        </w:rPr>
        <w:t>Then: design and build for finance and pilot brand (single site, lowest complexity).</w:t>
      </w:r>
    </w:p>
    <w:p>
      <w:pPr>
        <w:pStyle w:val="ListBullet"/>
      </w:pPr>
      <w:r/>
      <w:r>
        <w:rPr>
          <w:rFonts w:ascii="Arial" w:hAnsi="Arial"/>
          <w:sz w:val="22"/>
        </w:rPr>
        <w:t>Then: roll out remaining three brands in waves, sequenced by complexity, not size.</w:t>
      </w:r>
    </w:p>
    <w:p>
      <w:pPr>
        <w:pStyle w:val="ListBullet"/>
      </w:pPr>
      <w:r/>
      <w:r>
        <w:rPr>
          <w:rFonts w:ascii="Arial" w:hAnsi="Arial"/>
          <w:sz w:val="22"/>
        </w:rPr>
        <w:t>Last: bespoke pricing engine retirement and final WMS re-pointing.</w:t>
      </w:r>
    </w:p>
    <w:p>
      <w:pPr>
        <w:pStyle w:val="Heading2"/>
      </w:pPr>
      <w:r>
        <w:rPr>
          <w:color w:val="1E2761"/>
        </w:rPr>
        <w:t>Recommended programme shape</w:t>
      </w:r>
    </w:p>
    <w:p>
      <w:r>
        <w:rPr>
          <w:rFonts w:ascii="Arial" w:hAnsi="Arial"/>
          <w:b w:val="0"/>
          <w:i w:val="0"/>
          <w:sz w:val="22"/>
        </w:rPr>
        <w:t>Multi-wave is recommended over single-wave. The dependency tree, vendor exit window and operations change appetite all point the same way: a pilot wave to prove the design, then three brand waves on a quarterly cadence. A single-wave shape would compress data, integration and change risk into one cutover weekend, which the AS-IS evidence does not support.</w:t>
      </w:r>
    </w:p>
    <w:p>
      <w:r>
        <w:br w:type="page"/>
      </w:r>
    </w:p>
    <w:p>
      <w:pPr>
        <w:pStyle w:val="Heading1"/>
      </w:pPr>
      <w:r>
        <w:rPr>
          <w:color w:val="1E2761"/>
        </w:rPr>
        <w:t>Appendices</w:t>
      </w:r>
    </w:p>
    <w:p>
      <w:pPr>
        <w:pStyle w:val="Heading2"/>
      </w:pPr>
      <w:r>
        <w:rPr>
          <w:color w:val="1E2761"/>
        </w:rPr>
        <w:t>A. Source data and bibliography</w:t>
      </w:r>
    </w:p>
    <w:p>
      <w:pPr>
        <w:pStyle w:val="ListBullet"/>
      </w:pPr>
      <w:r/>
      <w:r>
        <w:rPr>
          <w:rFonts w:ascii="Arial" w:hAnsi="Arial"/>
          <w:sz w:val="22"/>
        </w:rPr>
        <w:t>Legacy ERP system inventories (six instances; 2025 year-end exports).</w:t>
      </w:r>
    </w:p>
    <w:p>
      <w:pPr>
        <w:pStyle w:val="ListBullet"/>
      </w:pPr>
      <w:r/>
      <w:r>
        <w:rPr>
          <w:rFonts w:ascii="Arial" w:hAnsi="Arial"/>
          <w:sz w:val="22"/>
        </w:rPr>
        <w:t>Integration register maintained by the central IT team (last refresh: November 2025).</w:t>
      </w:r>
    </w:p>
    <w:p>
      <w:pPr>
        <w:pStyle w:val="ListBullet"/>
      </w:pPr>
      <w:r/>
      <w:r>
        <w:rPr>
          <w:rFonts w:ascii="Arial" w:hAnsi="Arial"/>
          <w:sz w:val="22"/>
        </w:rPr>
        <w:t>Group finance consolidation pack (Q4 2025).</w:t>
      </w:r>
    </w:p>
    <w:p>
      <w:pPr>
        <w:pStyle w:val="ListBullet"/>
      </w:pPr>
      <w:r/>
      <w:r>
        <w:rPr>
          <w:rFonts w:ascii="Arial" w:hAnsi="Arial"/>
          <w:sz w:val="22"/>
        </w:rPr>
        <w:t>Internal audit report on master-data quality (November 2025).</w:t>
      </w:r>
    </w:p>
    <w:p>
      <w:pPr>
        <w:pStyle w:val="ListBullet"/>
      </w:pPr>
      <w:r/>
      <w:r>
        <w:rPr>
          <w:rFonts w:ascii="Arial" w:hAnsi="Arial"/>
          <w:sz w:val="22"/>
        </w:rPr>
        <w:t>Vendor end-of-life notice for legacy platform supporting two brands.</w:t>
      </w:r>
    </w:p>
    <w:p>
      <w:pPr>
        <w:pStyle w:val="ListBullet"/>
      </w:pPr>
      <w:r/>
      <w:r>
        <w:rPr>
          <w:rFonts w:ascii="Arial" w:hAnsi="Arial"/>
          <w:sz w:val="22"/>
        </w:rPr>
        <w:t>Prior transformation programme post-mortems (2019, 2022).</w:t>
      </w:r>
    </w:p>
    <w:p>
      <w:pPr>
        <w:pStyle w:val="Heading2"/>
      </w:pPr>
      <w:r>
        <w:rPr>
          <w:color w:val="1E2761"/>
        </w:rPr>
        <w:t>B. SMEs interviewed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Name</w:t>
            </w:r>
          </w:p>
        </w:tc>
        <w:tc>
          <w:tcPr>
            <w:tcW w:type="dxa" w:w="288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Role</w:t>
            </w:r>
          </w:p>
        </w:tc>
        <w:tc>
          <w:tcPr>
            <w:tcW w:type="dxa" w:w="2880"/>
            <w:shd w:val="clear" w:color="auto" w:fill="E6EAF5"/>
          </w:tcPr>
          <w:p>
            <w:r>
              <w:rPr>
                <w:rFonts w:ascii="Arial" w:hAnsi="Arial"/>
                <w:b/>
                <w:color w:val="1E2761"/>
                <w:sz w:val="20"/>
              </w:rPr>
              <w:t>Domain covered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Group Financial Controller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Finance, consolidation, GL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Director of Operations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Plan-to-Manufacture, sites, WMS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Head of Procurement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Procure-to-Pay, suppliers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Group HR Director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Hire-to-Retire, payroll interface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Head of IT Architecture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Platforms, integrations, infrastructure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Customer Service Manager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Customer service, returns, case-to-order</w:t>
            </w:r>
          </w:p>
        </w:tc>
      </w:tr>
      <w:tr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[Name placeholder]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Brand MD (pilot brand)</w:t>
            </w:r>
          </w:p>
        </w:tc>
        <w:tc>
          <w:tcPr>
            <w:tcW w:type="dxa" w:w="2880"/>
          </w:tcPr>
          <w:p>
            <w:r>
              <w:rPr>
                <w:rFonts w:ascii="Arial" w:hAnsi="Arial"/>
                <w:sz w:val="20"/>
              </w:rPr>
              <w:t>Operating model, change appetite</w:t>
            </w:r>
          </w:p>
        </w:tc>
      </w:tr>
    </w:tbl>
    <w:p>
      <w:pPr>
        <w:pStyle w:val="Heading2"/>
      </w:pPr>
      <w:r>
        <w:rPr>
          <w:color w:val="1E2761"/>
        </w:rPr>
        <w:t>C. Methodology</w:t>
      </w:r>
    </w:p>
    <w:p>
      <w:pPr>
        <w:pStyle w:val="ListBullet"/>
      </w:pPr>
      <w:r/>
      <w:r>
        <w:rPr>
          <w:rFonts w:ascii="Arial" w:hAnsi="Arial"/>
          <w:sz w:val="22"/>
        </w:rPr>
        <w:t>Stakeholder interviews (1:1 and small-group) across the seven domains above.</w:t>
      </w:r>
    </w:p>
    <w:p>
      <w:pPr>
        <w:pStyle w:val="ListBullet"/>
      </w:pPr>
      <w:r/>
      <w:r>
        <w:rPr>
          <w:rFonts w:ascii="Arial" w:hAnsi="Arial"/>
          <w:sz w:val="22"/>
        </w:rPr>
        <w:t>System inventory review for each legacy ERP and surrounding tool.</w:t>
      </w:r>
    </w:p>
    <w:p>
      <w:pPr>
        <w:pStyle w:val="ListBullet"/>
      </w:pPr>
      <w:r/>
      <w:r>
        <w:rPr>
          <w:rFonts w:ascii="Arial" w:hAnsi="Arial"/>
          <w:sz w:val="22"/>
        </w:rPr>
        <w:t>Document review: organisation charts, prior post-mortems, audit findings, vendor notices.</w:t>
      </w:r>
    </w:p>
    <w:p>
      <w:pPr>
        <w:pStyle w:val="ListBullet"/>
      </w:pPr>
      <w:r/>
      <w:r>
        <w:rPr>
          <w:rFonts w:ascii="Arial" w:hAnsi="Arial"/>
          <w:sz w:val="22"/>
        </w:rPr>
        <w:t>Master-data profiling pass: volumes, duplicate rates, completeness against a defined quality rubric.</w:t>
      </w:r>
    </w:p>
    <w:p>
      <w:pPr>
        <w:pStyle w:val="ListBullet"/>
      </w:pPr>
      <w:r/>
      <w:r>
        <w:rPr>
          <w:rFonts w:ascii="Arial" w:hAnsi="Arial"/>
          <w:sz w:val="22"/>
        </w:rPr>
        <w:t>Workshops to validate the Estate-on-a-Page, the Integration-on-a-Page and the Capability Heatmap.</w:t>
      </w:r>
    </w:p>
    <w:sectPr w:rsidR="00FC693F" w:rsidRPr="0006063C" w:rsidSect="00034616">
      <w:headerReference w:type="default" r:id="rId9"/>
      <w:headerReference w:type="first" r:id="rId10"/>
      <w:headerReference w:type="even" r:id="rId11"/>
      <w:footerReference w:type="default" r:id="rId12"/>
      <w:footerReference w:type="first" r:id="rId13"/>
      <w:footerReference w:type="even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E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E276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E276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E276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