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Master Data Ownership — Decision Record</w:t>
      </w:r>
    </w:p>
    <w:p>
      <w:r>
        <w:rPr>
          <w:i/>
          <w:color w:val="555555"/>
          <w:sz w:val="22"/>
        </w:rPr>
        <w:t>Stage 12 — Solution Design &amp; Full Business Case · Dual-pillar (ERP + CRM) implementations only</w:t>
      </w:r>
    </w:p>
    <w:p>
      <w:r>
        <w:rPr>
          <w:i/>
          <w:sz w:val="20"/>
        </w:rPr>
        <w:t>Per the Keystone canonical position: master data ownership is workshopped at S11–S12, not assumed. Default lean is ERP-as-master for customer / product / finance — but the specific business model often shifts the answer. A B2B distributor selling through CE-driven sales motions may want Customer originated in CE with sync to F&amp;O. A manufacturing business with strong finance discipline may want everything originated in F&amp;O. This Decision Record captures the per-domain choice and the reasoning, so neither pillar quietly assumes ownership later.</w:t>
      </w:r>
    </w:p>
    <w:p/>
    <w:p>
      <w:pPr>
        <w:pStyle w:val="Heading1"/>
      </w:pPr>
      <w:r>
        <w:t>RACI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</w:rPr>
              <w:t>Responsible</w:t>
            </w:r>
          </w:p>
        </w:tc>
        <w:tc>
          <w:tcPr>
            <w:tcW w:type="dxa" w:w="4873"/>
          </w:tcPr>
          <w:p>
            <w:r>
              <w:t>Data Architect (with Solution Architect as Consulted)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Accountable</w:t>
            </w:r>
          </w:p>
        </w:tc>
        <w:tc>
          <w:tcPr>
            <w:tcW w:type="dxa" w:w="4873"/>
          </w:tcPr>
          <w:p>
            <w:r>
              <w:t>Data Architect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Consulted</w:t>
            </w:r>
          </w:p>
        </w:tc>
        <w:tc>
          <w:tcPr>
            <w:tcW w:type="dxa" w:w="4873"/>
          </w:tcPr>
          <w:p>
            <w:r>
              <w:t>Solution Architect (Client side), Process Owners (per data domain), Finance Lead, Integration Lead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Informed</w:t>
            </w:r>
          </w:p>
        </w:tc>
        <w:tc>
          <w:tcPr>
            <w:tcW w:type="dxa" w:w="4873"/>
          </w:tcPr>
          <w:p>
            <w:r>
              <w:t>Programme Manager, Project Managers (per pillar)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Endorsed by</w:t>
            </w:r>
          </w:p>
        </w:tc>
        <w:tc>
          <w:tcPr>
            <w:tcW w:type="dxa" w:w="4873"/>
          </w:tcPr>
          <w:p>
            <w:r>
              <w:t>Design Authority at the Solution Design Sign-Off checkpoint within Stage 12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4873"/>
          </w:tcPr>
          <w:p>
            <w:r>
              <w:t>[Proposed | Accepted | Superseded by ADR-XX]</w:t>
            </w:r>
          </w:p>
        </w:tc>
      </w:tr>
    </w:tbl>
    <w:p/>
    <w:p>
      <w:pPr>
        <w:pStyle w:val="Heading1"/>
      </w:pPr>
      <w:r>
        <w:t>1. Context</w:t>
      </w:r>
    </w:p>
    <w:p>
      <w:r>
        <w:rPr>
          <w:i/>
        </w:rPr>
        <w:t>Capture the business model relevant to data ownership. The right master per domain depends on which pillar drives the business event that creates the record. Suggested prompts:</w:t>
      </w:r>
    </w:p>
    <w:p>
      <w:pPr>
        <w:pStyle w:val="ListBullet"/>
      </w:pPr>
      <w:r>
        <w:t>What is the dominant sales motion — ERP-driven (orders captured directly into F&amp;O) or CRM-driven (opportunities and quotes captured in CE, converted to orders)?</w:t>
      </w:r>
    </w:p>
    <w:p>
      <w:pPr>
        <w:pStyle w:val="ListBullet"/>
      </w:pPr>
      <w:r>
        <w:t>Where do customer records originate today — sales team (CRM territory) or finance / order desk (ERP territory)?</w:t>
      </w:r>
    </w:p>
    <w:p>
      <w:pPr>
        <w:pStyle w:val="ListBullet"/>
      </w:pPr>
      <w:r>
        <w:t>What financial controls apply — is finance the system of record for customer master because of credit checks, GL coding, statutory reporting?</w:t>
      </w:r>
    </w:p>
    <w:p>
      <w:pPr>
        <w:pStyle w:val="ListBullet"/>
      </w:pPr>
      <w:r>
        <w:t>What is the volume per domain — number of customers, products, suppliers, GL accounts, employees?</w:t>
      </w:r>
    </w:p>
    <w:p>
      <w:pPr>
        <w:pStyle w:val="ListBullet"/>
      </w:pPr>
      <w:r>
        <w:t>Which domains have regulatory or audit constraints that mandate a specific system of record?</w:t>
      </w:r>
    </w:p>
    <w:p>
      <w:r>
        <w:rPr>
          <w:i/>
          <w:color w:val="888888"/>
        </w:rPr>
        <w:t>[Programme-specific business-model context goes here — typically 200–400 words]</w:t>
      </w:r>
    </w:p>
    <w:p/>
    <w:p>
      <w:pPr>
        <w:pStyle w:val="Heading1"/>
      </w:pPr>
      <w:r>
        <w:t>2. Per-domain ownership decisions</w:t>
      </w:r>
    </w:p>
    <w:p>
      <w:r>
        <w:rPr>
          <w:i/>
        </w:rPr>
        <w:t>One row per master data domain. Capture the system of record, sync direction, and rationale per domain. Edit rows as needed — typical ERP + CRM landscape covers Customer, Product, Currency, Supplier, Employee, GL (adjust per programme).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</w:tcPr>
          <w:p>
            <w:r>
              <w:rPr>
                <w:b/>
              </w:rPr>
              <w:t>Domain</w:t>
            </w:r>
          </w:p>
        </w:tc>
        <w:tc>
          <w:tcPr>
            <w:tcW w:type="dxa" w:w="1949"/>
          </w:tcPr>
          <w:p>
            <w:r>
              <w:rPr>
                <w:b/>
              </w:rPr>
              <w:t>System of record</w:t>
            </w:r>
          </w:p>
        </w:tc>
        <w:tc>
          <w:tcPr>
            <w:tcW w:type="dxa" w:w="1949"/>
          </w:tcPr>
          <w:p>
            <w:r>
              <w:rPr>
                <w:b/>
              </w:rPr>
              <w:t>Sync direction</w:t>
            </w:r>
          </w:p>
        </w:tc>
        <w:tc>
          <w:tcPr>
            <w:tcW w:type="dxa" w:w="1949"/>
          </w:tcPr>
          <w:p>
            <w:r>
              <w:rPr>
                <w:b/>
              </w:rPr>
              <w:t>Rationale</w:t>
            </w:r>
          </w:p>
        </w:tc>
        <w:tc>
          <w:tcPr>
            <w:tcW w:type="dxa" w:w="1949"/>
          </w:tcPr>
          <w:p>
            <w:r>
              <w:rPr>
                <w:b/>
              </w:rPr>
              <w:t>Process Owner</w:t>
            </w:r>
          </w:p>
        </w:tc>
      </w:tr>
      <w:tr>
        <w:tc>
          <w:tcPr>
            <w:tcW w:type="dxa" w:w="1949"/>
          </w:tcPr>
          <w:p>
            <w:r>
              <w:t>Customer</w:t>
            </w:r>
          </w:p>
        </w:tc>
        <w:tc>
          <w:tcPr>
            <w:tcW w:type="dxa" w:w="1949"/>
          </w:tcPr>
          <w:p>
            <w:r>
              <w:t>[ERP | CRM]</w:t>
            </w:r>
          </w:p>
        </w:tc>
        <w:tc>
          <w:tcPr>
            <w:tcW w:type="dxa" w:w="1949"/>
          </w:tcPr>
          <w:p>
            <w:r>
              <w:t>[ERP→CRM | CRM→ERP | bidirectional]</w:t>
            </w:r>
          </w:p>
        </w:tc>
        <w:tc>
          <w:tcPr>
            <w:tcW w:type="dxa" w:w="1949"/>
          </w:tcPr>
          <w:p>
            <w:r>
              <w:t>[e.g. Finance owns credit checks, GL coding, statutory reporting — ERP master]</w:t>
            </w:r>
          </w:p>
        </w:tc>
        <w:tc>
          <w:tcPr>
            <w:tcW w:type="dxa" w:w="1949"/>
          </w:tcPr>
          <w:p>
            <w:r>
              <w:t>[Process Owner — Customer]</w:t>
            </w:r>
          </w:p>
        </w:tc>
      </w:tr>
      <w:tr>
        <w:tc>
          <w:tcPr>
            <w:tcW w:type="dxa" w:w="1949"/>
          </w:tcPr>
          <w:p>
            <w:r>
              <w:t>Product / SKU</w:t>
            </w:r>
          </w:p>
        </w:tc>
        <w:tc>
          <w:tcPr>
            <w:tcW w:type="dxa" w:w="1949"/>
          </w:tcPr>
          <w:p>
            <w:r>
              <w:t>[ERP]</w:t>
            </w:r>
          </w:p>
        </w:tc>
        <w:tc>
          <w:tcPr>
            <w:tcW w:type="dxa" w:w="1949"/>
          </w:tcPr>
          <w:p>
            <w:r>
              <w:t>[ERP→CRM]</w:t>
            </w:r>
          </w:p>
        </w:tc>
        <w:tc>
          <w:tcPr>
            <w:tcW w:type="dxa" w:w="1949"/>
          </w:tcPr>
          <w:p>
            <w:r>
              <w:t>[ERP holds product cost, BOM, supply chain attributes — CRM consumes for sales view]</w:t>
            </w:r>
          </w:p>
        </w:tc>
        <w:tc>
          <w:tcPr>
            <w:tcW w:type="dxa" w:w="1949"/>
          </w:tcPr>
          <w:p>
            <w:r>
              <w:t>[Process Owner — Product Master]</w:t>
            </w:r>
          </w:p>
        </w:tc>
      </w:tr>
      <w:tr>
        <w:tc>
          <w:tcPr>
            <w:tcW w:type="dxa" w:w="1949"/>
          </w:tcPr>
          <w:p>
            <w:r>
              <w:t>Currency / FX rates</w:t>
            </w:r>
          </w:p>
        </w:tc>
        <w:tc>
          <w:tcPr>
            <w:tcW w:type="dxa" w:w="1949"/>
          </w:tcPr>
          <w:p>
            <w:r>
              <w:t>[ERP]</w:t>
            </w:r>
          </w:p>
        </w:tc>
        <w:tc>
          <w:tcPr>
            <w:tcW w:type="dxa" w:w="1949"/>
          </w:tcPr>
          <w:p>
            <w:r>
              <w:t>[ERP→CRM]</w:t>
            </w:r>
          </w:p>
        </w:tc>
        <w:tc>
          <w:tcPr>
            <w:tcW w:type="dxa" w:w="1949"/>
          </w:tcPr>
          <w:p>
            <w:r>
              <w:t>[Finance system of record for FX]</w:t>
            </w:r>
          </w:p>
        </w:tc>
        <w:tc>
          <w:tcPr>
            <w:tcW w:type="dxa" w:w="1949"/>
          </w:tcPr>
          <w:p>
            <w:r>
              <w:t>[Finance Lead]</w:t>
            </w:r>
          </w:p>
        </w:tc>
      </w:tr>
      <w:tr>
        <w:tc>
          <w:tcPr>
            <w:tcW w:type="dxa" w:w="1949"/>
          </w:tcPr>
          <w:p>
            <w:r>
              <w:t>Supplier</w:t>
            </w:r>
          </w:p>
        </w:tc>
        <w:tc>
          <w:tcPr>
            <w:tcW w:type="dxa" w:w="1949"/>
          </w:tcPr>
          <w:p>
            <w:r>
              <w:t>[ERP]</w:t>
            </w:r>
          </w:p>
        </w:tc>
        <w:tc>
          <w:tcPr>
            <w:tcW w:type="dxa" w:w="1949"/>
          </w:tcPr>
          <w:p>
            <w:r>
              <w:t>[ERP→CRM]</w:t>
            </w:r>
          </w:p>
        </w:tc>
        <w:tc>
          <w:tcPr>
            <w:tcW w:type="dxa" w:w="1949"/>
          </w:tcPr>
          <w:p>
            <w:r>
              <w:t>[Procurement and AP live in ERP; CRM rarely needs supplier master]</w:t>
            </w:r>
          </w:p>
        </w:tc>
        <w:tc>
          <w:tcPr>
            <w:tcW w:type="dxa" w:w="1949"/>
          </w:tcPr>
          <w:p>
            <w:r>
              <w:t>[Process Owner — Procurement]</w:t>
            </w:r>
          </w:p>
        </w:tc>
      </w:tr>
      <w:tr>
        <w:tc>
          <w:tcPr>
            <w:tcW w:type="dxa" w:w="1949"/>
          </w:tcPr>
          <w:p>
            <w:r>
              <w:t>Employee / User</w:t>
            </w:r>
          </w:p>
        </w:tc>
        <w:tc>
          <w:tcPr>
            <w:tcW w:type="dxa" w:w="1949"/>
          </w:tcPr>
          <w:p>
            <w:r>
              <w:t>[HRIS or ERP]</w:t>
            </w:r>
          </w:p>
        </w:tc>
        <w:tc>
          <w:tcPr>
            <w:tcW w:type="dxa" w:w="1949"/>
          </w:tcPr>
          <w:p>
            <w:r>
              <w:t>[HRIS→ERP→CRM]</w:t>
            </w:r>
          </w:p>
        </w:tc>
        <w:tc>
          <w:tcPr>
            <w:tcW w:type="dxa" w:w="1949"/>
          </w:tcPr>
          <w:p>
            <w:r>
              <w:t>[Single source from HR; both pillars consume via SCIM or equivalent]</w:t>
            </w:r>
          </w:p>
        </w:tc>
        <w:tc>
          <w:tcPr>
            <w:tcW w:type="dxa" w:w="1949"/>
          </w:tcPr>
          <w:p>
            <w:r>
              <w:t>[Process Owner — HR]</w:t>
            </w:r>
          </w:p>
        </w:tc>
      </w:tr>
      <w:tr>
        <w:tc>
          <w:tcPr>
            <w:tcW w:type="dxa" w:w="1949"/>
          </w:tcPr>
          <w:p>
            <w:r>
              <w:t>Sales Order</w:t>
            </w:r>
          </w:p>
        </w:tc>
        <w:tc>
          <w:tcPr>
            <w:tcW w:type="dxa" w:w="1949"/>
          </w:tcPr>
          <w:p>
            <w:r>
              <w:t>[ERP]</w:t>
            </w:r>
          </w:p>
        </w:tc>
        <w:tc>
          <w:tcPr>
            <w:tcW w:type="dxa" w:w="1949"/>
          </w:tcPr>
          <w:p>
            <w:r>
              <w:t>[CRM creates Opportunity → ERP creates Order]</w:t>
            </w:r>
          </w:p>
        </w:tc>
        <w:tc>
          <w:tcPr>
            <w:tcW w:type="dxa" w:w="1949"/>
          </w:tcPr>
          <w:p>
            <w:r>
              <w:t>[Order is a financial event — ERP is system of record once committed]</w:t>
            </w:r>
          </w:p>
        </w:tc>
        <w:tc>
          <w:tcPr>
            <w:tcW w:type="dxa" w:w="1949"/>
          </w:tcPr>
          <w:p>
            <w:r>
              <w:t>[Process Owner — Order Management]</w:t>
            </w:r>
          </w:p>
        </w:tc>
      </w:tr>
      <w:tr>
        <w:tc>
          <w:tcPr>
            <w:tcW w:type="dxa" w:w="1949"/>
          </w:tcPr>
          <w:p>
            <w:r>
              <w:t>Opportunity / Quote</w:t>
            </w:r>
          </w:p>
        </w:tc>
        <w:tc>
          <w:tcPr>
            <w:tcW w:type="dxa" w:w="1949"/>
          </w:tcPr>
          <w:p>
            <w:r>
              <w:t>[CRM]</w:t>
            </w:r>
          </w:p>
        </w:tc>
        <w:tc>
          <w:tcPr>
            <w:tcW w:type="dxa" w:w="1949"/>
          </w:tcPr>
          <w:p>
            <w:r>
              <w:t>[CRM→ERP at quote-to-order conversion]</w:t>
            </w:r>
          </w:p>
        </w:tc>
        <w:tc>
          <w:tcPr>
            <w:tcW w:type="dxa" w:w="1949"/>
          </w:tcPr>
          <w:p>
            <w:r>
              <w:t>[Opportunity is a sales-pipeline construct — CRM territory]</w:t>
            </w:r>
          </w:p>
        </w:tc>
        <w:tc>
          <w:tcPr>
            <w:tcW w:type="dxa" w:w="1949"/>
          </w:tcPr>
          <w:p>
            <w:r>
              <w:t>[Process Owner — Sales]</w:t>
            </w:r>
          </w:p>
        </w:tc>
      </w:tr>
    </w:tbl>
    <w:p/>
    <w:p>
      <w:pPr>
        <w:pStyle w:val="Heading1"/>
      </w:pPr>
      <w:r>
        <w:t>3. Conflict resolution</w:t>
      </w:r>
    </w:p>
    <w:p>
      <w:r>
        <w:rPr>
          <w:i/>
        </w:rPr>
        <w:t>When the same record is updated in both pillars before sync resolves, who wins? Document the per-domain conflict resolution rule. Suggested approaches:</w:t>
      </w:r>
    </w:p>
    <w:p>
      <w:pPr>
        <w:pStyle w:val="ListBullet"/>
      </w:pPr>
      <w:r>
        <w:t>Last-write-wins (simplest; risk of silently overwriting; not suitable for financial records)</w:t>
      </w:r>
    </w:p>
    <w:p>
      <w:pPr>
        <w:pStyle w:val="ListBullet"/>
      </w:pPr>
      <w:r>
        <w:t>System-of-record wins (default — non-master pillar's edit is rejected back to user)</w:t>
      </w:r>
    </w:p>
    <w:p>
      <w:pPr>
        <w:pStyle w:val="ListBullet"/>
      </w:pPr>
      <w:r>
        <w:t>Manual reconciliation queue (record diverges; flagged to Process Owner for manual decision)</w:t>
      </w:r>
    </w:p>
    <w:p>
      <w:pPr>
        <w:pStyle w:val="ListBullet"/>
      </w:pPr>
      <w:r>
        <w:t>Field-level merge (e.g. sales-related fields owned by CRM; finance-related fields owned by ERP — both write the same record but on different fields)</w:t>
      </w:r>
    </w:p>
    <w:p>
      <w:r>
        <w:rPr>
          <w:i/>
          <w:color w:val="888888"/>
        </w:rPr>
        <w:t>[Per-domain conflict resolution rules go here]</w:t>
      </w:r>
    </w:p>
    <w:p/>
    <w:p>
      <w:pPr>
        <w:pStyle w:val="Heading1"/>
      </w:pPr>
      <w:r>
        <w:t>4. Alternatives considered</w:t>
      </w:r>
    </w:p>
    <w:p>
      <w:r>
        <w:rPr>
          <w:i/>
        </w:rPr>
        <w:t>What other ownership patterns were considered and why rejected? Most programmes have one or two genuinely viable alternatives — capture them honestly.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</w:rPr>
              <w:t>Alternative</w:t>
            </w:r>
          </w:p>
        </w:tc>
        <w:tc>
          <w:tcPr>
            <w:tcW w:type="dxa" w:w="4873"/>
          </w:tcPr>
          <w:p>
            <w:r>
              <w:rPr>
                <w:b/>
              </w:rPr>
              <w:t>Why rejected</w:t>
            </w:r>
          </w:p>
        </w:tc>
      </w:tr>
      <w:tr>
        <w:tc>
          <w:tcPr>
            <w:tcW w:type="dxa" w:w="4873"/>
          </w:tcPr>
          <w:p>
            <w:r>
              <w:t>[e.g. CRM-as-master for Customer]</w:t>
            </w:r>
          </w:p>
        </w:tc>
        <w:tc>
          <w:tcPr>
            <w:tcW w:type="dxa" w:w="4873"/>
          </w:tcPr>
          <w:p>
            <w:r>
              <w:t>[e.g. Conflicts with finance's credit-check workflow that feeds order release; would require CE customisation that doesn't fit out-of-the-box CE patterns]</w:t>
            </w:r>
          </w:p>
        </w:tc>
      </w:tr>
      <w:tr>
        <w:tc>
          <w:tcPr>
            <w:tcW w:type="dxa" w:w="4873"/>
          </w:tcPr>
          <w:p>
            <w:r>
              <w:t>[e.g. Maintain separate masters per pillar with manual reconciliation]</w:t>
            </w:r>
          </w:p>
        </w:tc>
        <w:tc>
          <w:tcPr>
            <w:tcW w:type="dxa" w:w="4873"/>
          </w:tcPr>
          <w:p>
            <w:r>
              <w:t>[e.g. Reconciliation overhead unsustainable at expected volume; introduces customer-record ambiguity for sales-service handoffs]</w:t>
            </w:r>
          </w:p>
        </w:tc>
      </w:tr>
      <w:tr>
        <w:tc>
          <w:tcPr>
            <w:tcW w:type="dxa" w:w="4873"/>
          </w:tcPr>
          <w:p>
            <w:r>
              <w:t>[e.g. Third-party MDM hub above both pillars]</w:t>
            </w:r>
          </w:p>
        </w:tc>
        <w:tc>
          <w:tcPr>
            <w:tcW w:type="dxa" w:w="4873"/>
          </w:tcPr>
          <w:p>
            <w:r>
              <w:t>[e.g. Tooling cost not justified at programme scale; adds operational burden without clear ROI]</w:t>
            </w:r>
          </w:p>
        </w:tc>
      </w:tr>
    </w:tbl>
    <w:p/>
    <w:p>
      <w:pPr>
        <w:pStyle w:val="Heading1"/>
      </w:pPr>
      <w:r>
        <w:t>5. Consequences</w:t>
      </w:r>
    </w:p>
    <w:p>
      <w:pPr>
        <w:pStyle w:val="Heading2"/>
      </w:pPr>
      <w:r>
        <w:t>Positive consequences</w:t>
      </w:r>
    </w:p>
    <w:p>
      <w:pPr>
        <w:pStyle w:val="ListBullet"/>
      </w:pPr>
      <w:r>
        <w:rPr>
          <w:i/>
          <w:color w:val="888888"/>
        </w:rPr>
        <w:t>[e.g. Customer record duplication eliminated — Process Owner reconciliation overhead removed]</w:t>
      </w:r>
    </w:p>
    <w:p>
      <w:pPr>
        <w:pStyle w:val="ListBullet"/>
      </w:pPr>
      <w:r>
        <w:rPr>
          <w:i/>
          <w:color w:val="888888"/>
        </w:rPr>
        <w:t>[e.g. Clear escalation path on data-quality issues — single Process Owner per domain]</w:t>
      </w:r>
    </w:p>
    <w:p>
      <w:pPr>
        <w:pStyle w:val="ListBullet"/>
      </w:pPr>
      <w:r>
        <w:rPr>
          <w:i/>
          <w:color w:val="888888"/>
        </w:rPr>
        <w:t>[e.g. Audit trail for each domain is concentrated in one pillar, simplifying compliance]</w:t>
      </w:r>
    </w:p>
    <w:p>
      <w:pPr>
        <w:pStyle w:val="Heading2"/>
      </w:pPr>
      <w:r>
        <w:t>Negative consequences</w:t>
      </w:r>
    </w:p>
    <w:p>
      <w:pPr>
        <w:pStyle w:val="ListBullet"/>
      </w:pPr>
      <w:r>
        <w:rPr>
          <w:i/>
          <w:color w:val="888888"/>
        </w:rPr>
        <w:t>[e.g. CRM users see Customer attributes as read-only — workflow change required for sales team]</w:t>
      </w:r>
    </w:p>
    <w:p>
      <w:pPr>
        <w:pStyle w:val="ListBullet"/>
      </w:pPr>
      <w:r>
        <w:rPr>
          <w:i/>
          <w:color w:val="888888"/>
        </w:rPr>
        <w:t>[e.g. Order conversion latency adds friction at quote-to-order step]</w:t>
      </w:r>
    </w:p>
    <w:p>
      <w:pPr>
        <w:pStyle w:val="ListBullet"/>
      </w:pPr>
      <w:r>
        <w:rPr>
          <w:i/>
          <w:color w:val="888888"/>
        </w:rPr>
        <w:t>[e.g. Master data quality issues in the system-of-record propagate to both pillars]</w:t>
      </w:r>
    </w:p>
    <w:p/>
    <w:p>
      <w:pPr>
        <w:pStyle w:val="Heading1"/>
      </w:pPr>
      <w:r>
        <w:t>6. Endorsement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</w:tcPr>
          <w:p>
            <w:r>
              <w:rPr>
                <w:b/>
              </w:rPr>
              <w:t>Role</w:t>
            </w:r>
          </w:p>
        </w:tc>
        <w:tc>
          <w:tcPr>
            <w:tcW w:type="dxa" w:w="3249"/>
          </w:tcPr>
          <w:p>
            <w:r>
              <w:rPr>
                <w:b/>
              </w:rPr>
              <w:t>Name</w:t>
            </w:r>
          </w:p>
        </w:tc>
        <w:tc>
          <w:tcPr>
            <w:tcW w:type="dxa" w:w="3249"/>
          </w:tcPr>
          <w:p>
            <w:r>
              <w:rPr>
                <w:b/>
              </w:rPr>
              <w:t>Date</w:t>
            </w:r>
          </w:p>
        </w:tc>
      </w:tr>
      <w:tr>
        <w:tc>
          <w:tcPr>
            <w:tcW w:type="dxa" w:w="3249"/>
          </w:tcPr>
          <w:p>
            <w:r>
              <w:t>Data Architect — Accountable</w:t>
            </w:r>
          </w:p>
        </w:tc>
        <w:tc>
          <w:tcPr>
            <w:tcW w:type="dxa" w:w="3249"/>
          </w:tcPr>
          <w:p>
            <w:r>
              <w:t>[Name]</w:t>
            </w:r>
          </w:p>
        </w:tc>
        <w:tc>
          <w:tcPr>
            <w:tcW w:type="dxa" w:w="3249"/>
          </w:tcPr>
          <w:p>
            <w:r>
              <w:t>[DD/MM/YYYY]</w:t>
            </w:r>
          </w:p>
        </w:tc>
      </w:tr>
      <w:tr>
        <w:tc>
          <w:tcPr>
            <w:tcW w:type="dxa" w:w="3249"/>
          </w:tcPr>
          <w:p>
            <w:r>
              <w:t>Solution Architect (Client side) — Consulted</w:t>
            </w:r>
          </w:p>
        </w:tc>
        <w:tc>
          <w:tcPr>
            <w:tcW w:type="dxa" w:w="3249"/>
          </w:tcPr>
          <w:p>
            <w:r>
              <w:t>[Name]</w:t>
            </w:r>
          </w:p>
        </w:tc>
        <w:tc>
          <w:tcPr>
            <w:tcW w:type="dxa" w:w="3249"/>
          </w:tcPr>
          <w:p>
            <w:r>
              <w:t>[DD/MM/YYYY]</w:t>
            </w:r>
          </w:p>
        </w:tc>
      </w:tr>
      <w:tr>
        <w:tc>
          <w:tcPr>
            <w:tcW w:type="dxa" w:w="3249"/>
          </w:tcPr>
          <w:p>
            <w:r>
              <w:t>Design Authority — Endorsed at Solution Design Sign-Off (S12)</w:t>
            </w:r>
          </w:p>
        </w:tc>
        <w:tc>
          <w:tcPr>
            <w:tcW w:type="dxa" w:w="3249"/>
          </w:tcPr>
          <w:p>
            <w:r>
              <w:t>[Date of DA meeting]</w:t>
            </w:r>
          </w:p>
        </w:tc>
        <w:tc>
          <w:tcPr>
            <w:tcW w:type="dxa" w:w="3249"/>
          </w:tcPr>
          <w:p>
            <w:r>
              <w:t>[DD/MM/YYYY]</w:t>
            </w:r>
          </w:p>
        </w:tc>
      </w:tr>
    </w:tbl>
    <w:p/>
    <w:p>
      <w:pPr>
        <w:pStyle w:val="Heading1"/>
      </w:pPr>
      <w:r>
        <w:t>7. References</w:t>
      </w:r>
    </w:p>
    <w:p>
      <w:pPr>
        <w:pStyle w:val="ListBullet"/>
      </w:pPr>
      <w:r>
        <w:t>Solution Design Document (S12) — section: Dual-pillar architectural decisions</w:t>
      </w:r>
    </w:p>
    <w:p>
      <w:pPr>
        <w:pStyle w:val="ListBullet"/>
      </w:pPr>
      <w:r>
        <w:t>Dual Write ADR (sibling Architecture Decision Record)</w:t>
      </w:r>
    </w:p>
    <w:p>
      <w:pPr>
        <w:pStyle w:val="ListBullet"/>
      </w:pPr>
      <w:r>
        <w:t>Keystone canonical reference — Multi-pillar position, Master data ownership</w:t>
      </w:r>
    </w:p>
    <w:p>
      <w:pPr>
        <w:pStyle w:val="ListBullet"/>
      </w:pPr>
      <w:r>
        <w:t>Discovery output (S11) — current-state data ownership analysis</w:t>
      </w:r>
    </w:p>
    <w:p/>
    <w:p>
      <w:r>
        <w:rPr>
          <w:i/>
          <w:color w:val="888888"/>
          <w:sz w:val="18"/>
        </w:rPr>
        <w:t>This template is one of two Architecture Decision Records produced at Stage 12 on dual-pillar implementations. Its companion is the Dual Write ADR. Single-pillar programmes do not need this artefact.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