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b/>
          <w:color w:val="1E2761"/>
          <w:sz w:val="64"/>
        </w:rPr>
        <w:t>Monthly Programme Report</w:t>
      </w:r>
    </w:p>
    <w:p>
      <w:r>
        <w:rPr>
          <w:rFonts w:ascii="Arial" w:hAnsi="Arial"/>
          <w:i/>
          <w:color w:val="595959"/>
          <w:sz w:val="28"/>
        </w:rPr>
        <w:t>Recurring artefact — for Steering Committee. RAG by workstream, KPIs, RAID summary, decisions needed.</w:t>
      </w:r>
    </w:p>
    <w:p>
      <w:pPr>
        <w:pBdr>
          <w:bottom w:val="single" w:sz="18" w:color="1E2761" w:space="1"/>
        </w:pBdr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EAF1FA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1E2761"/>
                <w:sz w:val="22"/>
              </w:rPr>
              <w:t>Document</w:t>
            </w:r>
          </w:p>
        </w:tc>
        <w:tc>
          <w:tcPr>
            <w:tcW w:type="dxa" w:w="623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2"/>
              </w:rPr>
              <w:t>Monthly Programme Report</w:t>
            </w:r>
          </w:p>
        </w:tc>
      </w:tr>
      <w:tr>
        <w:tc>
          <w:tcPr>
            <w:tcW w:type="dxa" w:w="2835"/>
            <w:shd w:val="clear" w:color="auto" w:fill="EAF1FA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1E2761"/>
                <w:sz w:val="22"/>
              </w:rPr>
              <w:t>Version</w:t>
            </w:r>
          </w:p>
        </w:tc>
        <w:tc>
          <w:tcPr>
            <w:tcW w:type="dxa" w:w="623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2"/>
              </w:rPr>
              <w:t>v1.0 (TEMPLATE)</w:t>
            </w:r>
          </w:p>
        </w:tc>
      </w:tr>
      <w:tr>
        <w:tc>
          <w:tcPr>
            <w:tcW w:type="dxa" w:w="2835"/>
            <w:shd w:val="clear" w:color="auto" w:fill="EAF1FA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1E2761"/>
                <w:sz w:val="22"/>
              </w:rPr>
              <w:t>Date</w:t>
            </w:r>
          </w:p>
        </w:tc>
        <w:tc>
          <w:tcPr>
            <w:tcW w:type="dxa" w:w="623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2"/>
              </w:rPr>
              <w:t>Reporting period: [Month YYYY]</w:t>
            </w:r>
          </w:p>
        </w:tc>
      </w:tr>
      <w:tr>
        <w:tc>
          <w:tcPr>
            <w:tcW w:type="dxa" w:w="2835"/>
            <w:shd w:val="clear" w:color="auto" w:fill="EAF1FA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1E2761"/>
                <w:sz w:val="22"/>
              </w:rPr>
              <w:t>Owner</w:t>
            </w:r>
          </w:p>
        </w:tc>
        <w:tc>
          <w:tcPr>
            <w:tcW w:type="dxa" w:w="623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2"/>
              </w:rPr>
              <w:t>Programme Manager</w:t>
            </w:r>
          </w:p>
        </w:tc>
      </w:tr>
      <w:tr>
        <w:tc>
          <w:tcPr>
            <w:tcW w:type="dxa" w:w="2835"/>
            <w:shd w:val="clear" w:color="auto" w:fill="EAF1FA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1E2761"/>
                <w:sz w:val="22"/>
              </w:rPr>
              <w:t>Classification</w:t>
            </w:r>
          </w:p>
        </w:tc>
        <w:tc>
          <w:tcPr>
            <w:tcW w:type="dxa" w:w="623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2"/>
              </w:rPr>
              <w:t>Programme Use</w:t>
            </w:r>
          </w:p>
        </w:tc>
      </w:tr>
    </w:tbl>
    <w:p>
      <w:r>
        <w:br w:type="page"/>
      </w:r>
    </w:p>
    <w:p>
      <w:pPr>
        <w:pStyle w:val="Heading1"/>
      </w:pPr>
      <w:r>
        <w:t>1. Headlines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402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Item</w:t>
            </w:r>
          </w:p>
        </w:tc>
        <w:tc>
          <w:tcPr>
            <w:tcW w:type="dxa" w:w="5102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Status</w:t>
            </w:r>
          </w:p>
        </w:tc>
      </w:tr>
      <w:tr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Overall RAG</w:t>
            </w:r>
          </w:p>
        </w:tc>
        <w:tc>
          <w:tcPr>
            <w:tcW w:type="dxa" w:w="51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[ Green / Amber / Red ]</w:t>
            </w:r>
          </w:p>
        </w:tc>
      </w:tr>
      <w:tr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Schedule vs plan</w:t>
            </w:r>
          </w:p>
        </w:tc>
        <w:tc>
          <w:tcPr>
            <w:tcW w:type="dxa" w:w="51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[on plan / +/- N weeks]</w:t>
            </w:r>
          </w:p>
        </w:tc>
      </w:tr>
      <w:tr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Cost vs FBC</w:t>
            </w:r>
          </w:p>
        </w:tc>
        <w:tc>
          <w:tcPr>
            <w:tcW w:type="dxa" w:w="51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[on plan / +/- N% of £X.Xm]</w:t>
            </w:r>
          </w:p>
        </w:tc>
      </w:tr>
      <w:tr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Top risk this month</w:t>
            </w:r>
          </w:p>
        </w:tc>
        <w:tc>
          <w:tcPr>
            <w:tcW w:type="dxa" w:w="51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[1-line summary]</w:t>
            </w:r>
          </w:p>
        </w:tc>
      </w:tr>
      <w:tr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Decision needed at this SteerCo</w:t>
            </w:r>
          </w:p>
        </w:tc>
        <w:tc>
          <w:tcPr>
            <w:tcW w:type="dxa" w:w="51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[Yes — see Section 6 / No]</w:t>
            </w:r>
          </w:p>
        </w:tc>
      </w:tr>
    </w:tbl>
    <w:p/>
    <w:p>
      <w:pPr>
        <w:pStyle w:val="Heading1"/>
      </w:pPr>
      <w:r>
        <w:t>2. Workstream RAG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2268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Workstream</w:t>
            </w:r>
          </w:p>
        </w:tc>
        <w:tc>
          <w:tcPr>
            <w:tcW w:type="dxa" w:w="850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RAG</w:t>
            </w:r>
          </w:p>
        </w:tc>
        <w:tc>
          <w:tcPr>
            <w:tcW w:type="dxa" w:w="1417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Schedule</w:t>
            </w:r>
          </w:p>
        </w:tc>
        <w:tc>
          <w:tcPr>
            <w:tcW w:type="dxa" w:w="1134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Cost</w:t>
            </w:r>
          </w:p>
        </w:tc>
        <w:tc>
          <w:tcPr>
            <w:tcW w:type="dxa" w:w="2835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Headline</w:t>
            </w:r>
          </w:p>
        </w:tc>
      </w:tr>
      <w:tr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Solution / Functional</w:t>
            </w:r>
          </w:p>
        </w:tc>
        <w:tc>
          <w:tcPr>
            <w:tcW w:type="dxa" w:w="85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[G/A/R]</w:t>
            </w:r>
          </w:p>
        </w:tc>
        <w:tc>
          <w:tcPr>
            <w:tcW w:type="dxa" w:w="141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[on / +/- wks]</w:t>
            </w:r>
          </w:p>
        </w:tc>
        <w:tc>
          <w:tcPr>
            <w:tcW w:type="dxa" w:w="113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[on / +/-]</w:t>
            </w:r>
          </w:p>
        </w:tc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[1-line headline]</w:t>
            </w:r>
          </w:p>
        </w:tc>
      </w:tr>
      <w:tr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Data Migration</w:t>
            </w:r>
          </w:p>
        </w:tc>
        <w:tc>
          <w:tcPr>
            <w:tcW w:type="dxa" w:w="85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[G/A/R]</w:t>
            </w:r>
          </w:p>
        </w:tc>
        <w:tc>
          <w:tcPr>
            <w:tcW w:type="dxa" w:w="141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113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</w:tr>
      <w:tr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Integration / Technical</w:t>
            </w:r>
          </w:p>
        </w:tc>
        <w:tc>
          <w:tcPr>
            <w:tcW w:type="dxa" w:w="85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[G/A/R]</w:t>
            </w:r>
          </w:p>
        </w:tc>
        <w:tc>
          <w:tcPr>
            <w:tcW w:type="dxa" w:w="141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113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</w:tr>
      <w:tr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Test</w:t>
            </w:r>
          </w:p>
        </w:tc>
        <w:tc>
          <w:tcPr>
            <w:tcW w:type="dxa" w:w="85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[G/A/R]</w:t>
            </w:r>
          </w:p>
        </w:tc>
        <w:tc>
          <w:tcPr>
            <w:tcW w:type="dxa" w:w="141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113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</w:tr>
      <w:tr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Change / Adoption</w:t>
            </w:r>
          </w:p>
        </w:tc>
        <w:tc>
          <w:tcPr>
            <w:tcW w:type="dxa" w:w="85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[G/A/R]</w:t>
            </w:r>
          </w:p>
        </w:tc>
        <w:tc>
          <w:tcPr>
            <w:tcW w:type="dxa" w:w="141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113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</w:tr>
      <w:tr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Cutover &amp; Deploy</w:t>
            </w:r>
          </w:p>
        </w:tc>
        <w:tc>
          <w:tcPr>
            <w:tcW w:type="dxa" w:w="85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[G/A/R]</w:t>
            </w:r>
          </w:p>
        </w:tc>
        <w:tc>
          <w:tcPr>
            <w:tcW w:type="dxa" w:w="141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113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</w:tr>
      <w:tr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Programme Mgmt / PMO</w:t>
            </w:r>
          </w:p>
        </w:tc>
        <w:tc>
          <w:tcPr>
            <w:tcW w:type="dxa" w:w="85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[G/A/R]</w:t>
            </w:r>
          </w:p>
        </w:tc>
        <w:tc>
          <w:tcPr>
            <w:tcW w:type="dxa" w:w="141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113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</w:tr>
    </w:tbl>
    <w:p/>
    <w:p>
      <w:pPr>
        <w:pStyle w:val="Heading1"/>
      </w:pPr>
      <w:r>
        <w:t>3. KPIs this month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3402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KPI</w:t>
            </w:r>
          </w:p>
        </w:tc>
        <w:tc>
          <w:tcPr>
            <w:tcW w:type="dxa" w:w="1701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Target</w:t>
            </w:r>
          </w:p>
        </w:tc>
        <w:tc>
          <w:tcPr>
            <w:tcW w:type="dxa" w:w="1701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Actual</w:t>
            </w:r>
          </w:p>
        </w:tc>
        <w:tc>
          <w:tcPr>
            <w:tcW w:type="dxa" w:w="1701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Trend</w:t>
            </w:r>
          </w:p>
        </w:tc>
      </w:tr>
      <w:tr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Defects raised this month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—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[N]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[up/down]</w:t>
            </w:r>
          </w:p>
        </w:tc>
      </w:tr>
      <w:tr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P1 defects open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[N]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[up/down]</w:t>
            </w:r>
          </w:p>
        </w:tc>
      </w:tr>
      <w:tr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P2 defects open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≤5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[N]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[up/down]</w:t>
            </w:r>
          </w:p>
        </w:tc>
      </w:tr>
      <w:tr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Defect ageing &gt;10 working days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[N]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[up/down]</w:t>
            </w:r>
          </w:p>
        </w:tc>
      </w:tr>
      <w:tr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Test scripts run / planned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≥80%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[%]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[up/down]</w:t>
            </w:r>
          </w:p>
        </w:tc>
      </w:tr>
      <w:tr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Test scripts passed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≥95%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[%]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[up/down]</w:t>
            </w:r>
          </w:p>
        </w:tc>
      </w:tr>
      <w:tr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RAID — Red risks open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[N]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[up/down]</w:t>
            </w:r>
          </w:p>
        </w:tc>
      </w:tr>
      <w:tr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RAID — Amber risks open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≤8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[N]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[up/down]</w:t>
            </w:r>
          </w:p>
        </w:tc>
      </w:tr>
      <w:tr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Forecast cost vs FBC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±10%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[%]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[up/down]</w:t>
            </w:r>
          </w:p>
        </w:tc>
      </w:tr>
    </w:tbl>
    <w:p/>
    <w:p>
      <w:pPr>
        <w:pStyle w:val="Heading1"/>
      </w:pPr>
      <w:r>
        <w:t>4. RAID summary (Top 5 of each)</w:t>
      </w:r>
    </w:p>
    <w:p>
      <w:r>
        <w:rPr>
          <w:rFonts w:ascii="Arial" w:hAnsi="Arial"/>
          <w:b w:val="0"/>
          <w:i w:val="0"/>
          <w:sz w:val="22"/>
        </w:rPr>
        <w:t>Full register in the RAID Log workbook. This view is the items that need SteerCo attention.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134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Type</w:t>
            </w:r>
          </w:p>
        </w:tc>
        <w:tc>
          <w:tcPr>
            <w:tcW w:type="dxa" w:w="850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ID</w:t>
            </w:r>
          </w:p>
        </w:tc>
        <w:tc>
          <w:tcPr>
            <w:tcW w:type="dxa" w:w="3969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1134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Owner</w:t>
            </w:r>
          </w:p>
        </w:tc>
        <w:tc>
          <w:tcPr>
            <w:tcW w:type="dxa" w:w="1417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Status</w:t>
            </w:r>
          </w:p>
        </w:tc>
      </w:tr>
      <w:tr>
        <w:tc>
          <w:tcPr>
            <w:tcW w:type="dxa" w:w="113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Risk</w:t>
            </w:r>
          </w:p>
        </w:tc>
        <w:tc>
          <w:tcPr>
            <w:tcW w:type="dxa" w:w="85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396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113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141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</w:tr>
      <w:tr>
        <w:tc>
          <w:tcPr>
            <w:tcW w:type="dxa" w:w="113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Risk</w:t>
            </w:r>
          </w:p>
        </w:tc>
        <w:tc>
          <w:tcPr>
            <w:tcW w:type="dxa" w:w="85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396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113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141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</w:tr>
      <w:tr>
        <w:tc>
          <w:tcPr>
            <w:tcW w:type="dxa" w:w="113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Risk</w:t>
            </w:r>
          </w:p>
        </w:tc>
        <w:tc>
          <w:tcPr>
            <w:tcW w:type="dxa" w:w="85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396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113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141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</w:tr>
      <w:tr>
        <w:tc>
          <w:tcPr>
            <w:tcW w:type="dxa" w:w="113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Issue</w:t>
            </w:r>
          </w:p>
        </w:tc>
        <w:tc>
          <w:tcPr>
            <w:tcW w:type="dxa" w:w="85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396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113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141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</w:tr>
      <w:tr>
        <w:tc>
          <w:tcPr>
            <w:tcW w:type="dxa" w:w="113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Issue</w:t>
            </w:r>
          </w:p>
        </w:tc>
        <w:tc>
          <w:tcPr>
            <w:tcW w:type="dxa" w:w="85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396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113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141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</w:tr>
      <w:tr>
        <w:tc>
          <w:tcPr>
            <w:tcW w:type="dxa" w:w="113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Dependency</w:t>
            </w:r>
          </w:p>
        </w:tc>
        <w:tc>
          <w:tcPr>
            <w:tcW w:type="dxa" w:w="85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396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113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141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</w:tr>
      <w:tr>
        <w:tc>
          <w:tcPr>
            <w:tcW w:type="dxa" w:w="113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Dependency</w:t>
            </w:r>
          </w:p>
        </w:tc>
        <w:tc>
          <w:tcPr>
            <w:tcW w:type="dxa" w:w="85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396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113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141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</w:tr>
    </w:tbl>
    <w:p/>
    <w:p>
      <w:pPr>
        <w:pStyle w:val="Heading1"/>
      </w:pPr>
      <w:r>
        <w:t>5. Progress vs plan</w:t>
      </w:r>
    </w:p>
    <w:p>
      <w:r>
        <w:rPr>
          <w:rFonts w:ascii="Arial" w:hAnsi="Arial"/>
          <w:b w:val="0"/>
          <w:i w:val="0"/>
          <w:sz w:val="22"/>
        </w:rPr>
        <w:t>[Narrative — typically 4–6 paragraphs. Cover progress against this stage's exit criteria, what's slipped and why, what's been pulled forward, and the forecast to the next gate.]</w:t>
      </w:r>
    </w:p>
    <w:p>
      <w:pPr>
        <w:pStyle w:val="Heading1"/>
      </w:pPr>
      <w:r>
        <w:t>6. Decisions needed</w:t>
      </w:r>
    </w:p>
    <w:p>
      <w:r>
        <w:rPr>
          <w:rFonts w:ascii="Arial" w:hAnsi="Arial"/>
          <w:b w:val="0"/>
          <w:i w:val="0"/>
          <w:sz w:val="22"/>
        </w:rPr>
        <w:t>[List of named decisions for SteerCo this session. Each item: decision, options, recommendation, decision-maker, by when. If none, say 'No decisions required this month' — do not pad this section.]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567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#</w:t>
            </w:r>
          </w:p>
        </w:tc>
        <w:tc>
          <w:tcPr>
            <w:tcW w:type="dxa" w:w="3969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Decision needed</w:t>
            </w:r>
          </w:p>
        </w:tc>
        <w:tc>
          <w:tcPr>
            <w:tcW w:type="dxa" w:w="2835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Recommendation</w:t>
            </w:r>
          </w:p>
        </w:tc>
        <w:tc>
          <w:tcPr>
            <w:tcW w:type="dxa" w:w="1134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By when</w:t>
            </w:r>
          </w:p>
        </w:tc>
      </w:tr>
      <w:tr>
        <w:tc>
          <w:tcPr>
            <w:tcW w:type="dxa" w:w="56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type="dxa" w:w="396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113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</w:tr>
      <w:tr>
        <w:tc>
          <w:tcPr>
            <w:tcW w:type="dxa" w:w="56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type="dxa" w:w="396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113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</w:tr>
      <w:tr>
        <w:tc>
          <w:tcPr>
            <w:tcW w:type="dxa" w:w="56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type="dxa" w:w="396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113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</w:tr>
    </w:tbl>
    <w:p/>
    <w:p>
      <w:pPr>
        <w:pStyle w:val="Heading1"/>
      </w:pPr>
      <w:r>
        <w:t>7. Look-ahead (next 4 weeks)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134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Week</w:t>
            </w:r>
          </w:p>
        </w:tc>
        <w:tc>
          <w:tcPr>
            <w:tcW w:type="dxa" w:w="5102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Milestones / events</w:t>
            </w:r>
          </w:p>
        </w:tc>
        <w:tc>
          <w:tcPr>
            <w:tcW w:type="dxa" w:w="2268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Risk indicators</w:t>
            </w:r>
          </w:p>
        </w:tc>
      </w:tr>
      <w:tr>
        <w:tc>
          <w:tcPr>
            <w:tcW w:type="dxa" w:w="113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W+1</w:t>
            </w:r>
          </w:p>
        </w:tc>
        <w:tc>
          <w:tcPr>
            <w:tcW w:type="dxa" w:w="51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</w:tr>
      <w:tr>
        <w:tc>
          <w:tcPr>
            <w:tcW w:type="dxa" w:w="113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W+2</w:t>
            </w:r>
          </w:p>
        </w:tc>
        <w:tc>
          <w:tcPr>
            <w:tcW w:type="dxa" w:w="51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</w:tr>
      <w:tr>
        <w:tc>
          <w:tcPr>
            <w:tcW w:type="dxa" w:w="113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W+3</w:t>
            </w:r>
          </w:p>
        </w:tc>
        <w:tc>
          <w:tcPr>
            <w:tcW w:type="dxa" w:w="51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</w:tr>
      <w:tr>
        <w:tc>
          <w:tcPr>
            <w:tcW w:type="dxa" w:w="113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W+4</w:t>
            </w:r>
          </w:p>
        </w:tc>
        <w:tc>
          <w:tcPr>
            <w:tcW w:type="dxa" w:w="51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</w:tr>
    </w:tbl>
    <w:p/>
    <w:p>
      <w:pPr>
        <w:pStyle w:val="Heading1"/>
      </w:pPr>
      <w:r>
        <w:t>8. Spend &amp; forecast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2268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Item</w:t>
            </w:r>
          </w:p>
        </w:tc>
        <w:tc>
          <w:tcPr>
            <w:tcW w:type="dxa" w:w="1417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FBC budget (£m)</w:t>
            </w:r>
          </w:p>
        </w:tc>
        <w:tc>
          <w:tcPr>
            <w:tcW w:type="dxa" w:w="1417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Spent to date</w:t>
            </w:r>
          </w:p>
        </w:tc>
        <w:tc>
          <w:tcPr>
            <w:tcW w:type="dxa" w:w="1417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Committed</w:t>
            </w:r>
          </w:p>
        </w:tc>
        <w:tc>
          <w:tcPr>
            <w:tcW w:type="dxa" w:w="1417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Forecast EAC</w:t>
            </w:r>
          </w:p>
        </w:tc>
        <w:tc>
          <w:tcPr>
            <w:tcW w:type="dxa" w:w="1134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Variance</w:t>
            </w:r>
          </w:p>
        </w:tc>
      </w:tr>
      <w:tr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Software / licences</w:t>
            </w:r>
          </w:p>
        </w:tc>
        <w:tc>
          <w:tcPr>
            <w:tcW w:type="dxa" w:w="141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141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141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141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113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</w:tr>
      <w:tr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Implementation (SI)</w:t>
            </w:r>
          </w:p>
        </w:tc>
        <w:tc>
          <w:tcPr>
            <w:tcW w:type="dxa" w:w="141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141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141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141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113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</w:tr>
      <w:tr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Programme (Client)</w:t>
            </w:r>
          </w:p>
        </w:tc>
        <w:tc>
          <w:tcPr>
            <w:tcW w:type="dxa" w:w="141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141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141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141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113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</w:tr>
      <w:tr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Infrastructure</w:t>
            </w:r>
          </w:p>
        </w:tc>
        <w:tc>
          <w:tcPr>
            <w:tcW w:type="dxa" w:w="141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141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141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141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113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</w:tr>
      <w:tr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Other</w:t>
            </w:r>
          </w:p>
        </w:tc>
        <w:tc>
          <w:tcPr>
            <w:tcW w:type="dxa" w:w="141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141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141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141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113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</w:tr>
      <w:tr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Contingency</w:t>
            </w:r>
          </w:p>
        </w:tc>
        <w:tc>
          <w:tcPr>
            <w:tcW w:type="dxa" w:w="141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141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141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141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113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</w:tr>
      <w:tr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TOTAL</w:t>
            </w:r>
          </w:p>
        </w:tc>
        <w:tc>
          <w:tcPr>
            <w:tcW w:type="dxa" w:w="141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141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141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141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113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80" w:after="120"/>
      <w:outlineLvl w:val="0"/>
    </w:pPr>
    <w:rPr>
      <w:rFonts w:asciiTheme="majorHAnsi" w:eastAsiaTheme="majorEastAsia" w:hAnsiTheme="majorHAnsi" w:cstheme="majorBidi" w:ascii="Arial" w:hAnsi="Arial"/>
      <w:b/>
      <w:bCs/>
      <w:color w:val="1E276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20"/>
      <w:outlineLvl w:val="1"/>
    </w:pPr>
    <w:rPr>
      <w:rFonts w:asciiTheme="majorHAnsi" w:eastAsiaTheme="majorEastAsia" w:hAnsiTheme="majorHAnsi" w:cstheme="majorBidi" w:ascii="Arial" w:hAnsi="Arial"/>
      <w:b/>
      <w:bCs/>
      <w:color w:val="1E276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80" w:after="120"/>
      <w:outlineLvl w:val="2"/>
    </w:pPr>
    <w:rPr>
      <w:rFonts w:asciiTheme="majorHAnsi" w:eastAsiaTheme="majorEastAsia" w:hAnsiTheme="majorHAnsi" w:cstheme="majorBidi" w:ascii="Arial" w:hAnsi="Arial"/>
      <w:b/>
      <w:bCs/>
      <w:color w:val="1E276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80" w:after="120"/>
      <w:outlineLvl w:val="3"/>
    </w:pPr>
    <w:rPr>
      <w:rFonts w:asciiTheme="majorHAnsi" w:eastAsiaTheme="majorEastAsia" w:hAnsiTheme="majorHAnsi" w:cstheme="majorBidi" w:ascii="Arial" w:hAnsi="Arial"/>
      <w:b/>
      <w:bCs/>
      <w:i/>
      <w:iCs/>
      <w:color w:val="1E276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1E2761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