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color w:val="1E2761"/>
          <w:sz w:val="64"/>
        </w:rPr>
        <w:t>Problem &amp; Opportunity Statement</w:t>
      </w:r>
    </w:p>
    <w:p>
      <w:r>
        <w:rPr>
          <w:rFonts w:ascii="Arial" w:hAnsi="Arial"/>
          <w:i/>
          <w:color w:val="595959"/>
          <w:sz w:val="28"/>
        </w:rPr>
        <w:t>Problem / Opportunity (S0) — opens the ERP lifecycle. The 'why now' document.</w:t>
      </w:r>
    </w:p>
    <w:p>
      <w:pPr>
        <w:pBdr>
          <w:bottom w:val="single" w:sz="18" w:color="1E2761" w:space="1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Document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Problem &amp; Opportunity Statement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v1.0 (TEMPLATE)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April 2026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Owner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Executive Sponsor (with Business Architect)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Use</w:t>
            </w:r>
          </w:p>
        </w:tc>
      </w:tr>
    </w:tbl>
    <w:p>
      <w:r>
        <w:br w:type="page"/>
      </w:r>
    </w:p>
    <w:p>
      <w:pPr>
        <w:pStyle w:val="Heading1"/>
      </w:pPr>
      <w:r>
        <w:t>1. Purpose</w:t>
      </w:r>
    </w:p>
    <w:p>
      <w:r>
        <w:rPr>
          <w:rFonts w:ascii="Arial" w:hAnsi="Arial"/>
          <w:b w:val="0"/>
          <w:i w:val="0"/>
          <w:sz w:val="22"/>
        </w:rPr>
        <w:t>S0 is where the case for change first crystallises. This document captures: the business problem in concrete, evidence-led terms; the opportunity available if the problem is solved; and the rough size of prize. It is short — typically 4–6 pages — and is the basis on which the Sponsor takes the case forward to Stage 1 (Vision &amp; Strategy).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DCE6F1"/>
            <w:tcBorders>
              <w:top w:val="single" w:sz="8" w:color="2E75B6"/>
              <w:left w:val="single" w:sz="8" w:color="2E75B6"/>
              <w:bottom w:val="single" w:sz="8" w:color="2E75B6"/>
              <w:right w:val="single" w:sz="8" w:color="2E75B6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Tone of voice</w:t>
            </w:r>
          </w:p>
          <w:p>
            <w:r>
              <w:rPr>
                <w:rFonts w:ascii="Arial" w:hAnsi="Arial"/>
                <w:sz w:val="21"/>
              </w:rPr>
              <w:t>S0 is not a business case. It is a statement of WHY action is needed now. Avoid solution language ('we will implement ERP'), avoid quantified benefits ('£18m saving') — those come at Stages 1, 2 and 6. At S0 the test is: does someone reading this agree the status quo is not acceptable?</w:t>
            </w:r>
          </w:p>
        </w:tc>
      </w:tr>
    </w:tbl>
    <w:p/>
    <w:p>
      <w:pPr>
        <w:pStyle w:val="Heading1"/>
      </w:pPr>
      <w:r>
        <w:t>2. The problem today</w:t>
      </w:r>
    </w:p>
    <w:p>
      <w:pPr>
        <w:pStyle w:val="Heading2"/>
      </w:pPr>
      <w:r>
        <w:t>2.1 Symptoms</w:t>
      </w:r>
    </w:p>
    <w:p>
      <w:pPr>
        <w:pStyle w:val="ListBullet"/>
      </w:pPr>
      <w:r>
        <w:rPr>
          <w:rFonts w:ascii="Arial" w:hAnsi="Arial"/>
          <w:sz w:val="22"/>
        </w:rPr>
        <w:t>[Specific operational pain point — e.g. 'Month-end close takes 9 working days vs sector benchmark of 5']</w:t>
      </w:r>
    </w:p>
    <w:p>
      <w:pPr>
        <w:pStyle w:val="ListBullet"/>
      </w:pPr>
      <w:r>
        <w:rPr>
          <w:rFonts w:ascii="Arial" w:hAnsi="Arial"/>
          <w:sz w:val="22"/>
        </w:rPr>
        <w:t>[Customer-facing impact — e.g. 'Order accuracy is 87% vs target of 98%']</w:t>
      </w:r>
    </w:p>
    <w:p>
      <w:pPr>
        <w:pStyle w:val="ListBullet"/>
      </w:pPr>
      <w:r>
        <w:rPr>
          <w:rFonts w:ascii="Arial" w:hAnsi="Arial"/>
          <w:sz w:val="22"/>
        </w:rPr>
        <w:t>[Compliance / audit finding — e.g. 'SOX management letter for the last 2 years has flagged SoD weakness']</w:t>
      </w:r>
    </w:p>
    <w:p>
      <w:pPr>
        <w:pStyle w:val="ListBullet"/>
      </w:pPr>
      <w:r>
        <w:rPr>
          <w:rFonts w:ascii="Arial" w:hAnsi="Arial"/>
          <w:sz w:val="22"/>
        </w:rPr>
        <w:t>[Cost-to-serve indicator — e.g. 'Finance FTE per £100m revenue is 14, sector benchmark is 7']</w:t>
      </w:r>
    </w:p>
    <w:p>
      <w:pPr>
        <w:pStyle w:val="ListBullet"/>
      </w:pPr>
      <w:r>
        <w:rPr>
          <w:rFonts w:ascii="Arial" w:hAnsi="Arial"/>
          <w:sz w:val="22"/>
        </w:rPr>
        <w:t>[Risk / continuity — e.g. 'Legacy ERP version goes out of vendor support in 18 months']</w:t>
      </w:r>
    </w:p>
    <w:p>
      <w:pPr>
        <w:pStyle w:val="Heading2"/>
      </w:pPr>
      <w:r>
        <w:t>2.2 Root causes</w:t>
      </w:r>
    </w:p>
    <w:p>
      <w:r>
        <w:rPr>
          <w:rFonts w:ascii="Arial" w:hAnsi="Arial"/>
          <w:b w:val="0"/>
          <w:i w:val="0"/>
          <w:sz w:val="22"/>
        </w:rPr>
        <w:t>[Two or three paragraphs explaining WHY the symptoms exist — typically a mix of ERP limitations, process workaround accumulation, integration debt, organisational change (M&amp;A, restructuring) and skills gaps.]</w:t>
      </w:r>
    </w:p>
    <w:p>
      <w:pPr>
        <w:pStyle w:val="Heading2"/>
      </w:pPr>
      <w:r>
        <w:t>2.3 Trajectory if nothing changes</w:t>
      </w:r>
    </w:p>
    <w:p>
      <w:r>
        <w:rPr>
          <w:rFonts w:ascii="Arial" w:hAnsi="Arial"/>
          <w:b w:val="0"/>
          <w:i w:val="0"/>
          <w:sz w:val="22"/>
        </w:rPr>
        <w:t>[Concrete narrative of where the organisation will be in 24 months if the status quo continues. This section must NOT contain quantified benefits — it should describe trajectory in qualitative or operational terms.]</w:t>
      </w:r>
    </w:p>
    <w:p>
      <w:pPr>
        <w:pStyle w:val="Heading1"/>
      </w:pPr>
      <w:r>
        <w:t>3. The opportunity</w:t>
      </w:r>
    </w:p>
    <w:p>
      <w:r>
        <w:rPr>
          <w:rFonts w:ascii="Arial" w:hAnsi="Arial"/>
          <w:b w:val="0"/>
          <w:i w:val="0"/>
          <w:sz w:val="22"/>
        </w:rPr>
        <w:t>[2–3 paragraphs framing what becomes possible if the problem is addressed: capability, agility, customer experience, cost-to-serve, compliance position, growth optionality.]</w:t>
      </w:r>
    </w:p>
    <w:p>
      <w:r>
        <w:rPr>
          <w:rFonts w:ascii="Arial" w:hAnsi="Arial"/>
          <w:b w:val="0"/>
          <w:i w:val="0"/>
          <w:sz w:val="22"/>
        </w:rPr>
        <w:t>Comparable organisations in [our sector / our scale / our geography] have addressed this problem by [generic approaches — e.g. moving to a SaaS ERP, consolidating onto a single platform, retiring tactical systems]. Specific solution choice is out of scope of this S0 document and will be made through Software Selection (S8) selection.</w:t>
      </w:r>
    </w:p>
    <w:p>
      <w:pPr>
        <w:pStyle w:val="Heading1"/>
      </w:pPr>
      <w:r>
        <w:t>4. Order-of-magnitude size of prize</w:t>
      </w:r>
    </w:p>
    <w:p>
      <w:r>
        <w:rPr>
          <w:rFonts w:ascii="Arial" w:hAnsi="Arial"/>
          <w:b w:val="0"/>
          <w:i w:val="0"/>
          <w:sz w:val="22"/>
        </w:rPr>
        <w:t>[Single paragraph with the LOWEST credible benefit from solving the problem — a 'this alone justifies acting' number. Detailed quantification belongs in the Value Definition &amp; Case for Change (S2) Benefits Map and ROI Driver Matrix; do not anchor here on a number that will move.]</w:t>
      </w:r>
    </w:p>
    <w:p>
      <w:pPr>
        <w:pStyle w:val="Heading1"/>
      </w:pPr>
      <w:r>
        <w:t>5. Recommendation</w:t>
      </w:r>
    </w:p>
    <w:p>
      <w:r>
        <w:rPr>
          <w:rFonts w:ascii="Arial" w:hAnsi="Arial"/>
          <w:b w:val="0"/>
          <w:i w:val="0"/>
          <w:sz w:val="22"/>
        </w:rPr>
        <w:t>Proceed to Vision &amp; Strategy (S1) — Vision &amp; Strategy. Authorise [N] weeks of business architect time and [N] weeks of executive engagement to develop the strategic response and the early-stage business case (Stages 1–5).</w:t>
      </w:r>
    </w:p>
    <w:p>
      <w:pPr>
        <w:pStyle w:val="Heading1"/>
      </w:pPr>
      <w:r>
        <w:t>6. Sign-off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Decision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Executive Sponsor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Proceed / Hold / Decline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CIO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80" w:after="12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1E276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E276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