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Arial" w:hAnsi="Arial"/>
          <w:b/>
          <w:color w:val="1E2761"/>
          <w:sz w:val="64"/>
        </w:rPr>
        <w:t>Programme Charter</w:t>
      </w:r>
    </w:p>
    <w:p>
      <w:r>
        <w:rPr>
          <w:rFonts w:ascii="Arial" w:hAnsi="Arial"/>
          <w:i/>
          <w:color w:val="595959"/>
          <w:sz w:val="28"/>
        </w:rPr>
        <w:t>ERP Programme — Programme Setup &amp; Mobilisation (S10) anchor document. Establishes scope, governance, sponsorship, success criteria and gates.</w:t>
      </w:r>
    </w:p>
    <w:p>
      <w:pPr>
        <w:pBdr>
          <w:bottom w:val="single" w:sz="18" w:color="1E2761" w:space="1"/>
        </w:pBdr>
      </w:pPr>
    </w:p>
    <w:tbl>
      <w:tblPr>
        <w:tblW w:type="auto" w:w="0"/>
        <w:tblLayout w:type="fixed"/>
        <w:tblLook w:firstColumn="1" w:firstRow="1" w:lastColumn="0" w:lastRow="0" w:noHBand="0" w:noVBand="1" w:val="04A0"/>
      </w:tblPr>
      <w:tblGrid>
        <w:gridCol w:w="4320"/>
        <w:gridCol w:w="4320"/>
      </w:tblGrid>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Document</w:t>
            </w:r>
          </w:p>
        </w:tc>
        <w:tc>
          <w:tcPr>
            <w:tcW w:type="dxa" w:w="6236"/>
            <w:tcBorders>
              <w:top w:val="single" w:sz="6" w:color="BFBFBF"/>
              <w:left w:val="single" w:sz="6" w:color="BFBFBF"/>
              <w:bottom w:val="single" w:sz="6" w:color="BFBFBF"/>
              <w:right w:val="single" w:sz="6" w:color="BFBFBF"/>
            </w:tcBorders>
          </w:tcPr>
          <w:p>
            <w:r/>
            <w:r>
              <w:rPr>
                <w:rFonts w:ascii="Arial" w:hAnsi="Arial"/>
                <w:sz w:val="22"/>
              </w:rPr>
              <w:t>Programme Charter</w:t>
            </w:r>
          </w:p>
        </w:tc>
      </w:tr>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Version</w:t>
            </w:r>
          </w:p>
        </w:tc>
        <w:tc>
          <w:tcPr>
            <w:tcW w:type="dxa" w:w="6236"/>
            <w:tcBorders>
              <w:top w:val="single" w:sz="6" w:color="BFBFBF"/>
              <w:left w:val="single" w:sz="6" w:color="BFBFBF"/>
              <w:bottom w:val="single" w:sz="6" w:color="BFBFBF"/>
              <w:right w:val="single" w:sz="6" w:color="BFBFBF"/>
            </w:tcBorders>
          </w:tcPr>
          <w:p>
            <w:r/>
            <w:r>
              <w:rPr>
                <w:rFonts w:ascii="Arial" w:hAnsi="Arial"/>
                <w:sz w:val="22"/>
              </w:rPr>
              <w:t>v1.0 (TEMPLATE)</w:t>
            </w:r>
          </w:p>
        </w:tc>
      </w:tr>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Date</w:t>
            </w:r>
          </w:p>
        </w:tc>
        <w:tc>
          <w:tcPr>
            <w:tcW w:type="dxa" w:w="6236"/>
            <w:tcBorders>
              <w:top w:val="single" w:sz="6" w:color="BFBFBF"/>
              <w:left w:val="single" w:sz="6" w:color="BFBFBF"/>
              <w:bottom w:val="single" w:sz="6" w:color="BFBFBF"/>
              <w:right w:val="single" w:sz="6" w:color="BFBFBF"/>
            </w:tcBorders>
          </w:tcPr>
          <w:p>
            <w:r/>
            <w:r>
              <w:rPr>
                <w:rFonts w:ascii="Arial" w:hAnsi="Arial"/>
                <w:sz w:val="22"/>
              </w:rPr>
              <w:t>April 2026</w:t>
            </w:r>
          </w:p>
        </w:tc>
      </w:tr>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Owner</w:t>
            </w:r>
          </w:p>
        </w:tc>
        <w:tc>
          <w:tcPr>
            <w:tcW w:type="dxa" w:w="6236"/>
            <w:tcBorders>
              <w:top w:val="single" w:sz="6" w:color="BFBFBF"/>
              <w:left w:val="single" w:sz="6" w:color="BFBFBF"/>
              <w:bottom w:val="single" w:sz="6" w:color="BFBFBF"/>
              <w:right w:val="single" w:sz="6" w:color="BFBFBF"/>
            </w:tcBorders>
          </w:tcPr>
          <w:p>
            <w:r/>
            <w:r>
              <w:rPr>
                <w:rFonts w:ascii="Arial" w:hAnsi="Arial"/>
                <w:sz w:val="22"/>
              </w:rPr>
              <w:t>Programme Manager (on behalf of Executive Sponsor)</w:t>
            </w:r>
          </w:p>
        </w:tc>
      </w:tr>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Classification</w:t>
            </w:r>
          </w:p>
        </w:tc>
        <w:tc>
          <w:tcPr>
            <w:tcW w:type="dxa" w:w="6236"/>
            <w:tcBorders>
              <w:top w:val="single" w:sz="6" w:color="BFBFBF"/>
              <w:left w:val="single" w:sz="6" w:color="BFBFBF"/>
              <w:bottom w:val="single" w:sz="6" w:color="BFBFBF"/>
              <w:right w:val="single" w:sz="6" w:color="BFBFBF"/>
            </w:tcBorders>
          </w:tcPr>
          <w:p>
            <w:r/>
            <w:r>
              <w:rPr>
                <w:rFonts w:ascii="Arial" w:hAnsi="Arial"/>
                <w:sz w:val="22"/>
              </w:rPr>
              <w:t>Programme Use</w:t>
            </w:r>
          </w:p>
        </w:tc>
      </w:tr>
    </w:tbl>
    <w:p>
      <w:r>
        <w:br w:type="page"/>
      </w:r>
    </w:p>
    <w:p>
      <w:pPr>
        <w:pStyle w:val="Heading1"/>
      </w:pPr>
      <w:r>
        <w:t>1. Purpose of this document</w:t>
      </w:r>
    </w:p>
    <w:p>
      <w:r>
        <w:rPr>
          <w:rFonts w:ascii="Arial" w:hAnsi="Arial"/>
          <w:b w:val="0"/>
          <w:i w:val="0"/>
          <w:sz w:val="22"/>
        </w:rPr>
        <w:t>This Charter is the formal authority for the ERP Programme. It is signed by the Executive Sponsor at Stage 10 (Programme Setup &amp; Mobilisation) once the Funding Envelope (Funding Envelope &amp; Benchmark Costs (S6)) has been approved at Gate 1 and the SI ROM (SI Selection with ROM Pricing (S9)) has been secured. It is the basis on which the programme team is mobilised and on which all subsequent governance (Steering Committee from Solution Design &amp; Full Business Case (S12), Design Authority from S9) operates.</w:t>
      </w:r>
    </w:p>
    <w:p>
      <w:r>
        <w:rPr>
          <w:rFonts w:ascii="Arial" w:hAnsi="Arial"/>
          <w:b w:val="0"/>
          <w:i w:val="0"/>
          <w:sz w:val="22"/>
        </w:rPr>
        <w:t>This Charter is re-baselined once — at S12, when the Full Business Case is confirmed at ±10–15% variance and the board commits to build (Gate 2). After that point, scope changes are managed through the change-control process, not by reissuing the Charter.</w:t>
      </w:r>
    </w:p>
    <w:p>
      <w:pPr>
        <w:pStyle w:val="Heading1"/>
      </w:pPr>
      <w:r>
        <w:t>2. Programme context</w:t>
      </w:r>
    </w:p>
    <w:p>
      <w:pPr>
        <w:pStyle w:val="Heading2"/>
      </w:pPr>
      <w:r>
        <w:t>2.1 Strategic rationale</w:t>
      </w:r>
    </w:p>
    <w:p>
      <w:r>
        <w:rPr>
          <w:rFonts w:ascii="Arial" w:hAnsi="Arial"/>
          <w:b w:val="0"/>
          <w:i w:val="0"/>
          <w:sz w:val="22"/>
        </w:rPr>
        <w:t>[Insert business context — typically 2–3 paragraphs setting out why ERP transformation is needed now: legacy ERP end-of-life dates, M&amp;A history, regulatory pressure, competitive cost-to-serve, growth ambition. This text should be a précis of the Vision &amp; Strategy (S1) Vision &amp; Strategy document.]</w:t>
      </w:r>
    </w:p>
    <w:p>
      <w:pPr>
        <w:pStyle w:val="Heading2"/>
      </w:pPr>
      <w:r>
        <w:t>2.2 Strategic outcomes (top-level)</w:t>
      </w:r>
    </w:p>
    <w:p>
      <w:r>
        <w:rPr>
          <w:rFonts w:ascii="Arial" w:hAnsi="Arial"/>
          <w:b w:val="0"/>
          <w:i w:val="0"/>
          <w:sz w:val="22"/>
        </w:rPr>
        <w:t>The programme will deliver against the following strategic outcomes, each of which has at least one named Benefit Owner (see Benefits Map):</w:t>
      </w:r>
    </w:p>
    <w:p>
      <w:pPr>
        <w:pStyle w:val="ListBullet"/>
      </w:pPr>
      <w:r>
        <w:rPr>
          <w:rFonts w:ascii="Arial" w:hAnsi="Arial"/>
          <w:sz w:val="22"/>
        </w:rPr>
        <w:t>Working capital efficiency — DSO and inventory reduction</w:t>
      </w:r>
    </w:p>
    <w:p>
      <w:pPr>
        <w:pStyle w:val="ListBullet"/>
      </w:pPr>
      <w:r>
        <w:rPr>
          <w:rFonts w:ascii="Arial" w:hAnsi="Arial"/>
          <w:sz w:val="22"/>
        </w:rPr>
        <w:t>Operational productivity — finance close speed, AP automation</w:t>
      </w:r>
    </w:p>
    <w:p>
      <w:pPr>
        <w:pStyle w:val="ListBullet"/>
      </w:pPr>
      <w:r>
        <w:rPr>
          <w:rFonts w:ascii="Arial" w:hAnsi="Arial"/>
          <w:sz w:val="22"/>
        </w:rPr>
        <w:t>Compliance and audit — SoD enforcement, automated controls</w:t>
      </w:r>
    </w:p>
    <w:p>
      <w:pPr>
        <w:pStyle w:val="ListBullet"/>
      </w:pPr>
      <w:r>
        <w:rPr>
          <w:rFonts w:ascii="Arial" w:hAnsi="Arial"/>
          <w:sz w:val="22"/>
        </w:rPr>
        <w:t>Decision support — real-time management reporting</w:t>
      </w:r>
    </w:p>
    <w:p>
      <w:pPr>
        <w:pStyle w:val="ListBullet"/>
      </w:pPr>
      <w:r>
        <w:rPr>
          <w:rFonts w:ascii="Arial" w:hAnsi="Arial"/>
          <w:sz w:val="22"/>
        </w:rPr>
        <w:t>Platform consolidation — retire legacy ERP and tactical systems</w:t>
      </w:r>
    </w:p>
    <w:p>
      <w:pPr>
        <w:pStyle w:val="Heading1"/>
      </w:pPr>
      <w:r>
        <w:t>3. Programme structure</w:t>
      </w:r>
    </w:p>
    <w:p>
      <w:r>
        <w:rPr>
          <w:rFonts w:ascii="Arial" w:hAnsi="Arial"/>
          <w:b w:val="0"/>
          <w:i w:val="0"/>
          <w:sz w:val="22"/>
        </w:rPr>
        <w:t>This programme follows the ERP Method, which structures the lifecycle into six governance phases and twenty stages (Stage 0–19), nominally 18–24 months end-to-end with c.8–10 days of cumulative executive commitment.</w:t>
      </w:r>
    </w:p>
    <w:tbl>
      <w:tblPr>
        <w:tblW w:type="auto" w:w="0"/>
        <w:tblLayout w:type="fixed"/>
        <w:tblLook w:firstColumn="1" w:firstRow="1" w:lastColumn="0" w:lastRow="0" w:noHBand="0" w:noVBand="1" w:val="04A0"/>
      </w:tblPr>
      <w:tblGrid>
        <w:gridCol w:w="2880"/>
        <w:gridCol w:w="2880"/>
        <w:gridCol w:w="2880"/>
      </w:tblGrid>
      <w:tr>
        <w:tc>
          <w:tcPr>
            <w:tcW w:type="dxa" w:w="2835"/>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Phase</w:t>
            </w:r>
          </w:p>
        </w:tc>
        <w:tc>
          <w:tcPr>
            <w:tcW w:type="dxa" w:w="2835"/>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Stages</w:t>
            </w:r>
          </w:p>
        </w:tc>
        <w:tc>
          <w:tcPr>
            <w:tcW w:type="dxa" w:w="3402"/>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Duration (typical)</w:t>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Pre-Programme</w:t>
            </w:r>
          </w:p>
        </w:tc>
        <w:tc>
          <w:tcPr>
            <w:tcW w:type="dxa" w:w="2835"/>
            <w:tcBorders>
              <w:top w:val="single" w:sz="6" w:color="BFBFBF"/>
              <w:left w:val="single" w:sz="6" w:color="BFBFBF"/>
              <w:bottom w:val="single" w:sz="6" w:color="BFBFBF"/>
              <w:right w:val="single" w:sz="6" w:color="BFBFBF"/>
            </w:tcBorders>
          </w:tcPr>
          <w:p>
            <w:r/>
            <w:r>
              <w:rPr>
                <w:rFonts w:ascii="Arial" w:hAnsi="Arial"/>
                <w:sz w:val="20"/>
              </w:rPr>
              <w:t>Stages 0–5</w:t>
            </w:r>
          </w:p>
        </w:tc>
        <w:tc>
          <w:tcPr>
            <w:tcW w:type="dxa" w:w="3402"/>
            <w:tcBorders>
              <w:top w:val="single" w:sz="6" w:color="BFBFBF"/>
              <w:left w:val="single" w:sz="6" w:color="BFBFBF"/>
              <w:bottom w:val="single" w:sz="6" w:color="BFBFBF"/>
              <w:right w:val="single" w:sz="6" w:color="BFBFBF"/>
            </w:tcBorders>
          </w:tcPr>
          <w:p>
            <w:r/>
            <w:r>
              <w:rPr>
                <w:rFonts w:ascii="Arial" w:hAnsi="Arial"/>
                <w:sz w:val="20"/>
              </w:rPr>
              <w:t>12 weeks</w:t>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Selection</w:t>
            </w:r>
          </w:p>
        </w:tc>
        <w:tc>
          <w:tcPr>
            <w:tcW w:type="dxa" w:w="2835"/>
            <w:tcBorders>
              <w:top w:val="single" w:sz="6" w:color="BFBFBF"/>
              <w:left w:val="single" w:sz="6" w:color="BFBFBF"/>
              <w:bottom w:val="single" w:sz="6" w:color="BFBFBF"/>
              <w:right w:val="single" w:sz="6" w:color="BFBFBF"/>
            </w:tcBorders>
          </w:tcPr>
          <w:p>
            <w:r/>
            <w:r>
              <w:rPr>
                <w:rFonts w:ascii="Arial" w:hAnsi="Arial"/>
                <w:sz w:val="20"/>
              </w:rPr>
              <w:t>Stages 6–9</w:t>
            </w:r>
          </w:p>
        </w:tc>
        <w:tc>
          <w:tcPr>
            <w:tcW w:type="dxa" w:w="3402"/>
            <w:tcBorders>
              <w:top w:val="single" w:sz="6" w:color="BFBFBF"/>
              <w:left w:val="single" w:sz="6" w:color="BFBFBF"/>
              <w:bottom w:val="single" w:sz="6" w:color="BFBFBF"/>
              <w:right w:val="single" w:sz="6" w:color="BFBFBF"/>
            </w:tcBorders>
          </w:tcPr>
          <w:p>
            <w:r/>
            <w:r>
              <w:rPr>
                <w:rFonts w:ascii="Arial" w:hAnsi="Arial"/>
                <w:sz w:val="20"/>
              </w:rPr>
              <w:t>17–24 weeks</w:t>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Setup &amp; Design</w:t>
            </w:r>
          </w:p>
        </w:tc>
        <w:tc>
          <w:tcPr>
            <w:tcW w:type="dxa" w:w="2835"/>
            <w:tcBorders>
              <w:top w:val="single" w:sz="6" w:color="BFBFBF"/>
              <w:left w:val="single" w:sz="6" w:color="BFBFBF"/>
              <w:bottom w:val="single" w:sz="6" w:color="BFBFBF"/>
              <w:right w:val="single" w:sz="6" w:color="BFBFBF"/>
            </w:tcBorders>
          </w:tcPr>
          <w:p>
            <w:r/>
            <w:r>
              <w:rPr>
                <w:rFonts w:ascii="Arial" w:hAnsi="Arial"/>
                <w:sz w:val="20"/>
              </w:rPr>
              <w:t>Stages 10–12</w:t>
            </w:r>
          </w:p>
        </w:tc>
        <w:tc>
          <w:tcPr>
            <w:tcW w:type="dxa" w:w="3402"/>
            <w:tcBorders>
              <w:top w:val="single" w:sz="6" w:color="BFBFBF"/>
              <w:left w:val="single" w:sz="6" w:color="BFBFBF"/>
              <w:bottom w:val="single" w:sz="6" w:color="BFBFBF"/>
              <w:right w:val="single" w:sz="6" w:color="BFBFBF"/>
            </w:tcBorders>
          </w:tcPr>
          <w:p>
            <w:r/>
            <w:r>
              <w:rPr>
                <w:rFonts w:ascii="Arial" w:hAnsi="Arial"/>
                <w:sz w:val="20"/>
              </w:rPr>
              <w:t>12–18 weeks</w:t>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Build &amp; Test</w:t>
            </w:r>
          </w:p>
        </w:tc>
        <w:tc>
          <w:tcPr>
            <w:tcW w:type="dxa" w:w="2835"/>
            <w:tcBorders>
              <w:top w:val="single" w:sz="6" w:color="BFBFBF"/>
              <w:left w:val="single" w:sz="6" w:color="BFBFBF"/>
              <w:bottom w:val="single" w:sz="6" w:color="BFBFBF"/>
              <w:right w:val="single" w:sz="6" w:color="BFBFBF"/>
            </w:tcBorders>
          </w:tcPr>
          <w:p>
            <w:r/>
            <w:r>
              <w:rPr>
                <w:rFonts w:ascii="Arial" w:hAnsi="Arial"/>
                <w:sz w:val="20"/>
              </w:rPr>
              <w:t>Stages 13–14</w:t>
            </w:r>
          </w:p>
        </w:tc>
        <w:tc>
          <w:tcPr>
            <w:tcW w:type="dxa" w:w="3402"/>
            <w:tcBorders>
              <w:top w:val="single" w:sz="6" w:color="BFBFBF"/>
              <w:left w:val="single" w:sz="6" w:color="BFBFBF"/>
              <w:bottom w:val="single" w:sz="6" w:color="BFBFBF"/>
              <w:right w:val="single" w:sz="6" w:color="BFBFBF"/>
            </w:tcBorders>
          </w:tcPr>
          <w:p>
            <w:r/>
            <w:r>
              <w:rPr>
                <w:rFonts w:ascii="Arial" w:hAnsi="Arial"/>
                <w:sz w:val="20"/>
              </w:rPr>
              <w:t>14–24 weeks</w:t>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Deploy</w:t>
            </w:r>
          </w:p>
        </w:tc>
        <w:tc>
          <w:tcPr>
            <w:tcW w:type="dxa" w:w="2835"/>
            <w:tcBorders>
              <w:top w:val="single" w:sz="6" w:color="BFBFBF"/>
              <w:left w:val="single" w:sz="6" w:color="BFBFBF"/>
              <w:bottom w:val="single" w:sz="6" w:color="BFBFBF"/>
              <w:right w:val="single" w:sz="6" w:color="BFBFBF"/>
            </w:tcBorders>
          </w:tcPr>
          <w:p>
            <w:r/>
            <w:r>
              <w:rPr>
                <w:rFonts w:ascii="Arial" w:hAnsi="Arial"/>
                <w:sz w:val="20"/>
              </w:rPr>
              <w:t>Stages 15–17</w:t>
            </w:r>
          </w:p>
        </w:tc>
        <w:tc>
          <w:tcPr>
            <w:tcW w:type="dxa" w:w="3402"/>
            <w:tcBorders>
              <w:top w:val="single" w:sz="6" w:color="BFBFBF"/>
              <w:left w:val="single" w:sz="6" w:color="BFBFBF"/>
              <w:bottom w:val="single" w:sz="6" w:color="BFBFBF"/>
              <w:right w:val="single" w:sz="6" w:color="BFBFBF"/>
            </w:tcBorders>
          </w:tcPr>
          <w:p>
            <w:r/>
            <w:r>
              <w:rPr>
                <w:rFonts w:ascii="Arial" w:hAnsi="Arial"/>
                <w:sz w:val="20"/>
              </w:rPr>
              <w:t>8–14 weeks</w:t>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Post-Programme</w:t>
            </w:r>
          </w:p>
        </w:tc>
        <w:tc>
          <w:tcPr>
            <w:tcW w:type="dxa" w:w="2835"/>
            <w:tcBorders>
              <w:top w:val="single" w:sz="6" w:color="BFBFBF"/>
              <w:left w:val="single" w:sz="6" w:color="BFBFBF"/>
              <w:bottom w:val="single" w:sz="6" w:color="BFBFBF"/>
              <w:right w:val="single" w:sz="6" w:color="BFBFBF"/>
            </w:tcBorders>
          </w:tcPr>
          <w:p>
            <w:r/>
            <w:r>
              <w:rPr>
                <w:rFonts w:ascii="Arial" w:hAnsi="Arial"/>
                <w:sz w:val="20"/>
              </w:rPr>
              <w:t>Stages 18–19</w:t>
            </w:r>
          </w:p>
        </w:tc>
        <w:tc>
          <w:tcPr>
            <w:tcW w:type="dxa" w:w="3402"/>
            <w:tcBorders>
              <w:top w:val="single" w:sz="6" w:color="BFBFBF"/>
              <w:left w:val="single" w:sz="6" w:color="BFBFBF"/>
              <w:bottom w:val="single" w:sz="6" w:color="BFBFBF"/>
              <w:right w:val="single" w:sz="6" w:color="BFBFBF"/>
            </w:tcBorders>
          </w:tcPr>
          <w:p>
            <w:r/>
            <w:r>
              <w:rPr>
                <w:rFonts w:ascii="Arial" w:hAnsi="Arial"/>
                <w:sz w:val="20"/>
              </w:rPr>
              <w:t>12–26 weeks formal, then ongoing</w:t>
            </w:r>
          </w:p>
        </w:tc>
      </w:tr>
    </w:tbl>
    <w:p/>
    <w:p>
      <w:pPr>
        <w:pStyle w:val="Heading1"/>
      </w:pPr>
      <w:r>
        <w:t>4. Scope</w:t>
      </w:r>
    </w:p>
    <w:p>
      <w:pPr>
        <w:pStyle w:val="Heading2"/>
      </w:pPr>
      <w:r>
        <w:t>4.1 In scope</w:t>
      </w:r>
    </w:p>
    <w:p>
      <w:pPr>
        <w:pStyle w:val="ListBullet"/>
      </w:pPr>
      <w:r>
        <w:rPr>
          <w:rFonts w:ascii="Arial" w:hAnsi="Arial"/>
          <w:sz w:val="22"/>
        </w:rPr>
        <w:t>Core ERP — General Ledger, AP, AR, Fixed Assets, Intercompany</w:t>
      </w:r>
    </w:p>
    <w:p>
      <w:pPr>
        <w:pStyle w:val="ListBullet"/>
      </w:pPr>
      <w:r>
        <w:rPr>
          <w:rFonts w:ascii="Arial" w:hAnsi="Arial"/>
          <w:sz w:val="22"/>
        </w:rPr>
        <w:t>Procure-to-Pay end-to-end (requisition, PO, GR, invoice, payment)</w:t>
      </w:r>
    </w:p>
    <w:p>
      <w:pPr>
        <w:pStyle w:val="ListBullet"/>
      </w:pPr>
      <w:r>
        <w:rPr>
          <w:rFonts w:ascii="Arial" w:hAnsi="Arial"/>
          <w:sz w:val="22"/>
        </w:rPr>
        <w:t>Order-to-Cash end-to-end (sales order, ATP, fulfilment, invoicing, collection)</w:t>
      </w:r>
    </w:p>
    <w:p>
      <w:pPr>
        <w:pStyle w:val="ListBullet"/>
      </w:pPr>
      <w:r>
        <w:rPr>
          <w:rFonts w:ascii="Arial" w:hAnsi="Arial"/>
          <w:sz w:val="22"/>
        </w:rPr>
        <w:t>Inventory &amp; supply planning (MRP, replenishment, WMS for two sites in Phase 1)</w:t>
      </w:r>
    </w:p>
    <w:p>
      <w:pPr>
        <w:pStyle w:val="ListBullet"/>
      </w:pPr>
      <w:r>
        <w:rPr>
          <w:rFonts w:ascii="Arial" w:hAnsi="Arial"/>
          <w:sz w:val="22"/>
        </w:rPr>
        <w:t>Reporting &amp; analytics (embedded BI, group consolidation pack)</w:t>
      </w:r>
    </w:p>
    <w:p>
      <w:pPr>
        <w:pStyle w:val="ListBullet"/>
      </w:pPr>
      <w:r>
        <w:rPr>
          <w:rFonts w:ascii="Arial" w:hAnsi="Arial"/>
          <w:sz w:val="22"/>
        </w:rPr>
        <w:t>Migration of [N] legal entities across [N] countries</w:t>
      </w:r>
    </w:p>
    <w:p>
      <w:pPr>
        <w:pStyle w:val="ListBullet"/>
      </w:pPr>
      <w:r>
        <w:rPr>
          <w:rFonts w:ascii="Arial" w:hAnsi="Arial"/>
          <w:sz w:val="22"/>
        </w:rPr>
        <w:t>Integration to [N] in-scope systems (HR, CRM, Bank, Tax engine, EDI)</w:t>
      </w:r>
    </w:p>
    <w:p>
      <w:pPr>
        <w:pStyle w:val="Heading2"/>
      </w:pPr>
      <w:r>
        <w:t>4.2 Out of scope</w:t>
      </w:r>
    </w:p>
    <w:p>
      <w:pPr>
        <w:pStyle w:val="ListBullet"/>
      </w:pPr>
      <w:r>
        <w:rPr>
          <w:rFonts w:ascii="Arial" w:hAnsi="Arial"/>
          <w:sz w:val="22"/>
        </w:rPr>
        <w:t>HR / payroll (remains in [system X] in Phase 1)</w:t>
      </w:r>
    </w:p>
    <w:p>
      <w:pPr>
        <w:pStyle w:val="ListBullet"/>
      </w:pPr>
      <w:r>
        <w:rPr>
          <w:rFonts w:ascii="Arial" w:hAnsi="Arial"/>
          <w:sz w:val="22"/>
        </w:rPr>
        <w:t>Manufacturing execution (deferred to Phase 2 roadmap)</w:t>
      </w:r>
    </w:p>
    <w:p>
      <w:pPr>
        <w:pStyle w:val="ListBullet"/>
      </w:pPr>
      <w:r>
        <w:rPr>
          <w:rFonts w:ascii="Arial" w:hAnsi="Arial"/>
          <w:sz w:val="22"/>
        </w:rPr>
        <w:t>Field service mobile app (deferred to Phase 2 roadmap)</w:t>
      </w:r>
    </w:p>
    <w:p>
      <w:pPr>
        <w:pStyle w:val="ListBullet"/>
      </w:pPr>
      <w:r>
        <w:rPr>
          <w:rFonts w:ascii="Arial" w:hAnsi="Arial"/>
          <w:sz w:val="22"/>
        </w:rPr>
        <w:t>Master data governance tooling (handled as a separate workstream outside this programme)</w:t>
      </w:r>
    </w:p>
    <w:p>
      <w:pPr>
        <w:pStyle w:val="Heading2"/>
      </w:pPr>
      <w:r>
        <w:t>4.3 Phasing</w:t>
      </w:r>
    </w:p>
    <w:p>
      <w:r>
        <w:rPr>
          <w:rFonts w:ascii="Arial" w:hAnsi="Arial"/>
          <w:b w:val="0"/>
          <w:i w:val="0"/>
          <w:sz w:val="22"/>
        </w:rPr>
        <w:t>Phase 1 covers the entities and processes above and is the subject of this Charter. Phase 2 (manufacturing execution, field service, additional countries) is out of scope of this Charter and will be sponsored separately following Benefits Realisation &amp; Review (S18) benefits review.</w:t>
      </w:r>
    </w:p>
    <w:p>
      <w:pPr>
        <w:pStyle w:val="Heading1"/>
      </w:pPr>
      <w:r>
        <w:t>5. Governance</w:t>
      </w:r>
    </w:p>
    <w:tbl>
      <w:tblPr>
        <w:tblW w:type="auto" w:w="0"/>
        <w:tblLook w:firstColumn="1" w:firstRow="1" w:lastColumn="0" w:lastRow="0" w:noHBand="0" w:noVBand="1" w:val="04A0"/>
      </w:tblPr>
      <w:tblGrid>
        <w:gridCol w:w="8640"/>
      </w:tblGrid>
      <w:tr>
        <w:tc>
          <w:tcPr>
            <w:tcW w:type="dxa" w:w="8640"/>
            <w:shd w:val="clear" w:color="auto" w:fill="DCE6F1"/>
            <w:tcBorders>
              <w:top w:val="single" w:sz="8" w:color="2E75B6"/>
              <w:left w:val="single" w:sz="8" w:color="2E75B6"/>
              <w:bottom w:val="single" w:sz="8" w:color="2E75B6"/>
              <w:right w:val="single" w:sz="8" w:color="2E75B6"/>
            </w:tcBorders>
          </w:tcPr>
          <w:p>
            <w:r/>
            <w:r>
              <w:rPr>
                <w:rFonts w:ascii="Arial" w:hAnsi="Arial"/>
                <w:b/>
                <w:color w:val="1E2761"/>
                <w:sz w:val="22"/>
              </w:rPr>
              <w:t>Two real board gates</w:t>
            </w:r>
          </w:p>
          <w:p>
            <w:r>
              <w:rPr>
                <w:rFonts w:ascii="Arial" w:hAnsi="Arial"/>
                <w:sz w:val="21"/>
              </w:rPr>
              <w:t>Gate 1 (S6): Funding Envelope approved, ±30–40% variance — authorises Selection. Gate 2 (S12): Full Business Case confirmed, ±10–15% variance — commits to build. Stages 7, 9 and 13 are NOT gates and must not be presented as such.</w:t>
            </w:r>
          </w:p>
        </w:tc>
      </w:tr>
    </w:tbl>
    <w:p/>
    <w:tbl>
      <w:tblPr>
        <w:tblW w:type="auto" w:w="0"/>
        <w:tblLayout w:type="fixed"/>
        <w:tblLook w:firstColumn="1" w:firstRow="1" w:lastColumn="0" w:lastRow="0" w:noHBand="0" w:noVBand="1" w:val="04A0"/>
      </w:tblPr>
      <w:tblGrid>
        <w:gridCol w:w="2160"/>
        <w:gridCol w:w="2160"/>
        <w:gridCol w:w="2160"/>
        <w:gridCol w:w="2160"/>
      </w:tblGrid>
      <w:tr>
        <w:tc>
          <w:tcPr>
            <w:tcW w:type="dxa" w:w="2268"/>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Body</w:t>
            </w:r>
          </w:p>
        </w:tc>
        <w:tc>
          <w:tcPr>
            <w:tcW w:type="dxa" w:w="2268"/>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Active period</w:t>
            </w:r>
          </w:p>
        </w:tc>
        <w:tc>
          <w:tcPr>
            <w:tcW w:type="dxa" w:w="1701"/>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Cadence</w:t>
            </w:r>
          </w:p>
        </w:tc>
        <w:tc>
          <w:tcPr>
            <w:tcW w:type="dxa" w:w="2835"/>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Decisions owned</w:t>
            </w:r>
          </w:p>
        </w:tc>
      </w:tr>
      <w:tr>
        <w:tc>
          <w:tcPr>
            <w:tcW w:type="dxa" w:w="2268"/>
            <w:tcBorders>
              <w:top w:val="single" w:sz="6" w:color="BFBFBF"/>
              <w:left w:val="single" w:sz="6" w:color="BFBFBF"/>
              <w:bottom w:val="single" w:sz="6" w:color="BFBFBF"/>
              <w:right w:val="single" w:sz="6" w:color="BFBFBF"/>
            </w:tcBorders>
          </w:tcPr>
          <w:p>
            <w:r/>
            <w:r>
              <w:rPr>
                <w:rFonts w:ascii="Arial" w:hAnsi="Arial"/>
                <w:sz w:val="20"/>
              </w:rPr>
              <w:t>Executive Sponsor Group</w:t>
            </w:r>
          </w:p>
        </w:tc>
        <w:tc>
          <w:tcPr>
            <w:tcW w:type="dxa" w:w="2268"/>
            <w:tcBorders>
              <w:top w:val="single" w:sz="6" w:color="BFBFBF"/>
              <w:left w:val="single" w:sz="6" w:color="BFBFBF"/>
              <w:bottom w:val="single" w:sz="6" w:color="BFBFBF"/>
              <w:right w:val="single" w:sz="6" w:color="BFBFBF"/>
            </w:tcBorders>
          </w:tcPr>
          <w:p>
            <w:r/>
            <w:r>
              <w:rPr>
                <w:rFonts w:ascii="Arial" w:hAnsi="Arial"/>
                <w:sz w:val="20"/>
              </w:rPr>
              <w:t>Phase 1 Wk1 throughout</w:t>
            </w:r>
          </w:p>
        </w:tc>
        <w:tc>
          <w:tcPr>
            <w:tcW w:type="dxa" w:w="1701"/>
            <w:tcBorders>
              <w:top w:val="single" w:sz="6" w:color="BFBFBF"/>
              <w:left w:val="single" w:sz="6" w:color="BFBFBF"/>
              <w:bottom w:val="single" w:sz="6" w:color="BFBFBF"/>
              <w:right w:val="single" w:sz="6" w:color="BFBFBF"/>
            </w:tcBorders>
          </w:tcPr>
          <w:p>
            <w:r/>
            <w:r>
              <w:rPr>
                <w:rFonts w:ascii="Arial" w:hAnsi="Arial"/>
                <w:sz w:val="20"/>
              </w:rPr>
              <w:t>As required + every gate</w:t>
            </w:r>
          </w:p>
        </w:tc>
        <w:tc>
          <w:tcPr>
            <w:tcW w:type="dxa" w:w="2835"/>
            <w:tcBorders>
              <w:top w:val="single" w:sz="6" w:color="BFBFBF"/>
              <w:left w:val="single" w:sz="6" w:color="BFBFBF"/>
              <w:bottom w:val="single" w:sz="6" w:color="BFBFBF"/>
              <w:right w:val="single" w:sz="6" w:color="BFBFBF"/>
            </w:tcBorders>
          </w:tcPr>
          <w:p>
            <w:r/>
            <w:r>
              <w:rPr>
                <w:rFonts w:ascii="Arial" w:hAnsi="Arial"/>
                <w:sz w:val="20"/>
              </w:rPr>
              <w:t>Gate 1, Gate 2, escalations, scope change &gt;5%</w:t>
            </w:r>
          </w:p>
        </w:tc>
      </w:tr>
      <w:tr>
        <w:tc>
          <w:tcPr>
            <w:tcW w:type="dxa" w:w="2268"/>
            <w:tcBorders>
              <w:top w:val="single" w:sz="6" w:color="BFBFBF"/>
              <w:left w:val="single" w:sz="6" w:color="BFBFBF"/>
              <w:bottom w:val="single" w:sz="6" w:color="BFBFBF"/>
              <w:right w:val="single" w:sz="6" w:color="BFBFBF"/>
            </w:tcBorders>
          </w:tcPr>
          <w:p>
            <w:r/>
            <w:r>
              <w:rPr>
                <w:rFonts w:ascii="Arial" w:hAnsi="Arial"/>
                <w:sz w:val="20"/>
              </w:rPr>
              <w:t>Steering Committee</w:t>
            </w:r>
          </w:p>
        </w:tc>
        <w:tc>
          <w:tcPr>
            <w:tcW w:type="dxa" w:w="2268"/>
            <w:tcBorders>
              <w:top w:val="single" w:sz="6" w:color="BFBFBF"/>
              <w:left w:val="single" w:sz="6" w:color="BFBFBF"/>
              <w:bottom w:val="single" w:sz="6" w:color="BFBFBF"/>
              <w:right w:val="single" w:sz="6" w:color="BFBFBF"/>
            </w:tcBorders>
          </w:tcPr>
          <w:p>
            <w:r/>
            <w:r>
              <w:rPr>
                <w:rFonts w:ascii="Arial" w:hAnsi="Arial"/>
                <w:sz w:val="20"/>
              </w:rPr>
              <w:t>Stages 3–18 (BAU at 19)</w:t>
            </w:r>
          </w:p>
        </w:tc>
        <w:tc>
          <w:tcPr>
            <w:tcW w:type="dxa" w:w="1701"/>
            <w:tcBorders>
              <w:top w:val="single" w:sz="6" w:color="BFBFBF"/>
              <w:left w:val="single" w:sz="6" w:color="BFBFBF"/>
              <w:bottom w:val="single" w:sz="6" w:color="BFBFBF"/>
              <w:right w:val="single" w:sz="6" w:color="BFBFBF"/>
            </w:tcBorders>
          </w:tcPr>
          <w:p>
            <w:r/>
            <w:r>
              <w:rPr>
                <w:rFonts w:ascii="Arial" w:hAnsi="Arial"/>
                <w:sz w:val="20"/>
              </w:rPr>
              <w:t>Monthly</w:t>
            </w:r>
          </w:p>
        </w:tc>
        <w:tc>
          <w:tcPr>
            <w:tcW w:type="dxa" w:w="2835"/>
            <w:tcBorders>
              <w:top w:val="single" w:sz="6" w:color="BFBFBF"/>
              <w:left w:val="single" w:sz="6" w:color="BFBFBF"/>
              <w:bottom w:val="single" w:sz="6" w:color="BFBFBF"/>
              <w:right w:val="single" w:sz="6" w:color="BFBFBF"/>
            </w:tcBorders>
          </w:tcPr>
          <w:p>
            <w:r/>
            <w:r>
              <w:rPr>
                <w:rFonts w:ascii="Arial" w:hAnsi="Arial"/>
                <w:sz w:val="20"/>
              </w:rPr>
              <w:t>RAID, plan, budget within tolerance, sign-off on stage closures</w:t>
            </w:r>
          </w:p>
        </w:tc>
      </w:tr>
      <w:tr>
        <w:tc>
          <w:tcPr>
            <w:tcW w:type="dxa" w:w="2268"/>
            <w:tcBorders>
              <w:top w:val="single" w:sz="6" w:color="BFBFBF"/>
              <w:left w:val="single" w:sz="6" w:color="BFBFBF"/>
              <w:bottom w:val="single" w:sz="6" w:color="BFBFBF"/>
              <w:right w:val="single" w:sz="6" w:color="BFBFBF"/>
            </w:tcBorders>
          </w:tcPr>
          <w:p>
            <w:r/>
            <w:r>
              <w:rPr>
                <w:rFonts w:ascii="Arial" w:hAnsi="Arial"/>
                <w:sz w:val="20"/>
              </w:rPr>
              <w:t>Design Authority</w:t>
            </w:r>
          </w:p>
        </w:tc>
        <w:tc>
          <w:tcPr>
            <w:tcW w:type="dxa" w:w="2268"/>
            <w:tcBorders>
              <w:top w:val="single" w:sz="6" w:color="BFBFBF"/>
              <w:left w:val="single" w:sz="6" w:color="BFBFBF"/>
              <w:bottom w:val="single" w:sz="6" w:color="BFBFBF"/>
              <w:right w:val="single" w:sz="6" w:color="BFBFBF"/>
            </w:tcBorders>
          </w:tcPr>
          <w:p>
            <w:r>
              <w:t>End of S9 through Hypercare &amp; Stabilisation (S17)</w:t>
            </w:r>
            <w:r>
              <w:rPr>
                <w:rFonts w:ascii="Arial" w:hAnsi="Arial"/>
                <w:sz w:val="20"/>
              </w:rPr>
            </w:r>
          </w:p>
        </w:tc>
        <w:tc>
          <w:tcPr>
            <w:tcW w:type="dxa" w:w="1701"/>
            <w:tcBorders>
              <w:top w:val="single" w:sz="6" w:color="BFBFBF"/>
              <w:left w:val="single" w:sz="6" w:color="BFBFBF"/>
              <w:bottom w:val="single" w:sz="6" w:color="BFBFBF"/>
              <w:right w:val="single" w:sz="6" w:color="BFBFBF"/>
            </w:tcBorders>
          </w:tcPr>
          <w:p>
            <w:r/>
            <w:r>
              <w:rPr>
                <w:rFonts w:ascii="Arial" w:hAnsi="Arial"/>
                <w:sz w:val="20"/>
              </w:rPr>
              <w:t>Bi-weekly</w:t>
            </w:r>
          </w:p>
        </w:tc>
        <w:tc>
          <w:tcPr>
            <w:tcW w:type="dxa" w:w="2835"/>
            <w:tcBorders>
              <w:top w:val="single" w:sz="6" w:color="BFBFBF"/>
              <w:left w:val="single" w:sz="6" w:color="BFBFBF"/>
              <w:bottom w:val="single" w:sz="6" w:color="BFBFBF"/>
              <w:right w:val="single" w:sz="6" w:color="BFBFBF"/>
            </w:tcBorders>
          </w:tcPr>
          <w:p>
            <w:r/>
            <w:r>
              <w:rPr>
                <w:rFonts w:ascii="Arial" w:hAnsi="Arial"/>
                <w:sz w:val="20"/>
              </w:rPr>
              <w:t>Solution decisions, design exceptions, deviation from standard</w:t>
            </w:r>
          </w:p>
        </w:tc>
      </w:tr>
    </w:tbl>
    <w:p/>
    <w:p>
      <w:pPr>
        <w:pStyle w:val="Heading1"/>
      </w:pPr>
      <w:r>
        <w:t>6. Roles &amp; accountabilities</w:t>
      </w:r>
    </w:p>
    <w:p>
      <w:r>
        <w:rPr>
          <w:rFonts w:ascii="Arial" w:hAnsi="Arial"/>
          <w:b w:val="0"/>
          <w:i w:val="0"/>
          <w:sz w:val="22"/>
        </w:rPr>
        <w:t>Full-lifecycle roles: Executive Sponsor, Programme Manager, Business Architect.</w:t>
      </w:r>
    </w:p>
    <w:p>
      <w:r>
        <w:rPr>
          <w:rFonts w:ascii="Arial" w:hAnsi="Arial"/>
          <w:b w:val="0"/>
          <w:i w:val="0"/>
          <w:sz w:val="22"/>
        </w:rPr>
        <w:t>Phase-specific roles (per ERP Method):</w:t>
      </w:r>
    </w:p>
    <w:tbl>
      <w:tblPr>
        <w:tblW w:type="auto" w:w="0"/>
        <w:tblLayout w:type="fixed"/>
        <w:tblLook w:firstColumn="1" w:firstRow="1" w:lastColumn="0" w:lastRow="0" w:noHBand="0" w:noVBand="1" w:val="04A0"/>
      </w:tblPr>
      <w:tblGrid>
        <w:gridCol w:w="2880"/>
        <w:gridCol w:w="2880"/>
        <w:gridCol w:w="2880"/>
      </w:tblGrid>
      <w:tr>
        <w:tc>
          <w:tcPr>
            <w:tcW w:type="dxa" w:w="3402"/>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Role</w:t>
            </w:r>
          </w:p>
        </w:tc>
        <w:tc>
          <w:tcPr>
            <w:tcW w:type="dxa" w:w="2268"/>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Joins at</w:t>
            </w:r>
          </w:p>
        </w:tc>
        <w:tc>
          <w:tcPr>
            <w:tcW w:type="dxa" w:w="3402"/>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Notes</w:t>
            </w:r>
          </w:p>
        </w:tc>
      </w:tr>
      <w:tr>
        <w:tc>
          <w:tcPr>
            <w:tcW w:type="dxa" w:w="3402"/>
            <w:tcBorders>
              <w:top w:val="single" w:sz="6" w:color="BFBFBF"/>
              <w:left w:val="single" w:sz="6" w:color="BFBFBF"/>
              <w:bottom w:val="single" w:sz="6" w:color="BFBFBF"/>
              <w:right w:val="single" w:sz="6" w:color="BFBFBF"/>
            </w:tcBorders>
          </w:tcPr>
          <w:p>
            <w:r/>
            <w:r>
              <w:rPr>
                <w:rFonts w:ascii="Arial" w:hAnsi="Arial"/>
                <w:sz w:val="20"/>
              </w:rPr>
              <w:t>Solution Architect (Client + SI co-chair)</w:t>
            </w:r>
          </w:p>
        </w:tc>
        <w:tc>
          <w:tcPr>
            <w:tcW w:type="dxa" w:w="2268"/>
            <w:tcBorders>
              <w:top w:val="single" w:sz="6" w:color="BFBFBF"/>
              <w:left w:val="single" w:sz="6" w:color="BFBFBF"/>
              <w:bottom w:val="single" w:sz="6" w:color="BFBFBF"/>
              <w:right w:val="single" w:sz="6" w:color="BFBFBF"/>
            </w:tcBorders>
          </w:tcPr>
          <w:p>
            <w:r>
              <w:t>S9</w:t>
            </w:r>
            <w:r>
              <w:rPr>
                <w:rFonts w:ascii="Arial" w:hAnsi="Arial"/>
                <w:sz w:val="20"/>
              </w:rPr>
            </w:r>
          </w:p>
        </w:tc>
        <w:tc>
          <w:tcPr>
            <w:tcW w:type="dxa" w:w="3402"/>
            <w:tcBorders>
              <w:top w:val="single" w:sz="6" w:color="BFBFBF"/>
              <w:left w:val="single" w:sz="6" w:color="BFBFBF"/>
              <w:bottom w:val="single" w:sz="6" w:color="BFBFBF"/>
              <w:right w:val="single" w:sz="6" w:color="BFBFBF"/>
            </w:tcBorders>
          </w:tcPr>
          <w:p>
            <w:r/>
            <w:r>
              <w:rPr>
                <w:rFonts w:ascii="Arial" w:hAnsi="Arial"/>
                <w:sz w:val="20"/>
              </w:rPr>
              <w:t>Co-chair of Design Authority</w:t>
            </w:r>
          </w:p>
        </w:tc>
      </w:tr>
      <w:tr>
        <w:tc>
          <w:tcPr>
            <w:tcW w:type="dxa" w:w="3402"/>
            <w:tcBorders>
              <w:top w:val="single" w:sz="6" w:color="BFBFBF"/>
              <w:left w:val="single" w:sz="6" w:color="BFBFBF"/>
              <w:bottom w:val="single" w:sz="6" w:color="BFBFBF"/>
              <w:right w:val="single" w:sz="6" w:color="BFBFBF"/>
            </w:tcBorders>
          </w:tcPr>
          <w:p>
            <w:r/>
            <w:r>
              <w:rPr>
                <w:rFonts w:ascii="Arial" w:hAnsi="Arial"/>
                <w:sz w:val="20"/>
              </w:rPr>
              <w:t>Project Managers (per workstream)</w:t>
            </w:r>
          </w:p>
        </w:tc>
        <w:tc>
          <w:tcPr>
            <w:tcW w:type="dxa" w:w="2268"/>
            <w:tcBorders>
              <w:top w:val="single" w:sz="6" w:color="BFBFBF"/>
              <w:left w:val="single" w:sz="6" w:color="BFBFBF"/>
              <w:bottom w:val="single" w:sz="6" w:color="BFBFBF"/>
              <w:right w:val="single" w:sz="6" w:color="BFBFBF"/>
            </w:tcBorders>
          </w:tcPr>
          <w:p>
            <w:r>
              <w:t>S10</w:t>
            </w:r>
            <w:r>
              <w:rPr>
                <w:rFonts w:ascii="Arial" w:hAnsi="Arial"/>
                <w:sz w:val="20"/>
              </w:rPr>
            </w:r>
          </w:p>
        </w:tc>
        <w:tc>
          <w:tcPr>
            <w:tcW w:type="dxa" w:w="3402"/>
            <w:tcBorders>
              <w:top w:val="single" w:sz="6" w:color="BFBFBF"/>
              <w:left w:val="single" w:sz="6" w:color="BFBFBF"/>
              <w:bottom w:val="single" w:sz="6" w:color="BFBFBF"/>
              <w:right w:val="single" w:sz="6" w:color="BFBFBF"/>
            </w:tcBorders>
          </w:tcPr>
          <w:p>
            <w:r>
              <w:t>NOT staffed before S10 — there are no workstreams</w:t>
            </w:r>
            <w:r>
              <w:rPr>
                <w:rFonts w:ascii="Arial" w:hAnsi="Arial"/>
                <w:sz w:val="20"/>
              </w:rPr>
            </w:r>
          </w:p>
        </w:tc>
      </w:tr>
      <w:tr>
        <w:tc>
          <w:tcPr>
            <w:tcW w:type="dxa" w:w="3402"/>
            <w:tcBorders>
              <w:top w:val="single" w:sz="6" w:color="BFBFBF"/>
              <w:left w:val="single" w:sz="6" w:color="BFBFBF"/>
              <w:bottom w:val="single" w:sz="6" w:color="BFBFBF"/>
              <w:right w:val="single" w:sz="6" w:color="BFBFBF"/>
            </w:tcBorders>
          </w:tcPr>
          <w:p>
            <w:r/>
            <w:r>
              <w:rPr>
                <w:rFonts w:ascii="Arial" w:hAnsi="Arial"/>
                <w:sz w:val="20"/>
              </w:rPr>
              <w:t>Process Owners</w:t>
            </w:r>
          </w:p>
        </w:tc>
        <w:tc>
          <w:tcPr>
            <w:tcW w:type="dxa" w:w="2268"/>
            <w:tcBorders>
              <w:top w:val="single" w:sz="6" w:color="BFBFBF"/>
              <w:left w:val="single" w:sz="6" w:color="BFBFBF"/>
              <w:bottom w:val="single" w:sz="6" w:color="BFBFBF"/>
              <w:right w:val="single" w:sz="6" w:color="BFBFBF"/>
            </w:tcBorders>
          </w:tcPr>
          <w:p>
            <w:r>
              <w:t>S10</w:t>
            </w:r>
            <w:r>
              <w:rPr>
                <w:rFonts w:ascii="Arial" w:hAnsi="Arial"/>
                <w:sz w:val="20"/>
              </w:rPr>
            </w:r>
          </w:p>
        </w:tc>
        <w:tc>
          <w:tcPr>
            <w:tcW w:type="dxa" w:w="3402"/>
            <w:tcBorders>
              <w:top w:val="single" w:sz="6" w:color="BFBFBF"/>
              <w:left w:val="single" w:sz="6" w:color="BFBFBF"/>
              <w:bottom w:val="single" w:sz="6" w:color="BFBFBF"/>
              <w:right w:val="single" w:sz="6" w:color="BFBFBF"/>
            </w:tcBorders>
          </w:tcPr>
          <w:p>
            <w:r/>
            <w:r>
              <w:rPr>
                <w:rFonts w:ascii="Arial" w:hAnsi="Arial"/>
                <w:sz w:val="20"/>
              </w:rPr>
              <w:t>Named individuals from the business</w:t>
            </w:r>
          </w:p>
        </w:tc>
      </w:tr>
      <w:tr>
        <w:tc>
          <w:tcPr>
            <w:tcW w:type="dxa" w:w="3402"/>
            <w:tcBorders>
              <w:top w:val="single" w:sz="6" w:color="BFBFBF"/>
              <w:left w:val="single" w:sz="6" w:color="BFBFBF"/>
              <w:bottom w:val="single" w:sz="6" w:color="BFBFBF"/>
              <w:right w:val="single" w:sz="6" w:color="BFBFBF"/>
            </w:tcBorders>
          </w:tcPr>
          <w:p>
            <w:r/>
            <w:r>
              <w:rPr>
                <w:rFonts w:ascii="Arial" w:hAnsi="Arial"/>
                <w:sz w:val="20"/>
              </w:rPr>
              <w:t>Change Lead</w:t>
            </w:r>
          </w:p>
        </w:tc>
        <w:tc>
          <w:tcPr>
            <w:tcW w:type="dxa" w:w="2268"/>
            <w:tcBorders>
              <w:top w:val="single" w:sz="6" w:color="BFBFBF"/>
              <w:left w:val="single" w:sz="6" w:color="BFBFBF"/>
              <w:bottom w:val="single" w:sz="6" w:color="BFBFBF"/>
              <w:right w:val="single" w:sz="6" w:color="BFBFBF"/>
            </w:tcBorders>
          </w:tcPr>
          <w:p>
            <w:r>
              <w:t>S10</w:t>
            </w:r>
            <w:r>
              <w:rPr>
                <w:rFonts w:ascii="Arial" w:hAnsi="Arial"/>
                <w:sz w:val="20"/>
              </w:rPr>
            </w:r>
          </w:p>
        </w:tc>
        <w:tc>
          <w:tcPr>
            <w:tcW w:type="dxa" w:w="3402"/>
            <w:tcBorders>
              <w:top w:val="single" w:sz="6" w:color="BFBFBF"/>
              <w:left w:val="single" w:sz="6" w:color="BFBFBF"/>
              <w:bottom w:val="single" w:sz="6" w:color="BFBFBF"/>
              <w:right w:val="single" w:sz="6" w:color="BFBFBF"/>
            </w:tcBorders>
          </w:tcPr>
          <w:p>
            <w:r/>
            <w:r>
              <w:rPr>
                <w:rFonts w:ascii="Arial" w:hAnsi="Arial"/>
                <w:sz w:val="20"/>
              </w:rPr>
              <w:t>Ramps with adoption through deploy</w:t>
            </w:r>
          </w:p>
        </w:tc>
      </w:tr>
      <w:tr>
        <w:tc>
          <w:tcPr>
            <w:tcW w:type="dxa" w:w="3402"/>
            <w:tcBorders>
              <w:top w:val="single" w:sz="6" w:color="BFBFBF"/>
              <w:left w:val="single" w:sz="6" w:color="BFBFBF"/>
              <w:bottom w:val="single" w:sz="6" w:color="BFBFBF"/>
              <w:right w:val="single" w:sz="6" w:color="BFBFBF"/>
            </w:tcBorders>
          </w:tcPr>
          <w:p>
            <w:r>
              <w:t>Client Test Manager</w:t>
            </w:r>
            <w:r>
              <w:rPr>
                <w:rFonts w:ascii="Arial" w:hAnsi="Arial"/>
                <w:sz w:val="20"/>
              </w:rPr>
            </w:r>
          </w:p>
        </w:tc>
        <w:tc>
          <w:tcPr>
            <w:tcW w:type="dxa" w:w="2268"/>
            <w:tcBorders>
              <w:top w:val="single" w:sz="6" w:color="BFBFBF"/>
              <w:left w:val="single" w:sz="6" w:color="BFBFBF"/>
              <w:bottom w:val="single" w:sz="6" w:color="BFBFBF"/>
              <w:right w:val="single" w:sz="6" w:color="BFBFBF"/>
            </w:tcBorders>
          </w:tcPr>
          <w:p>
            <w:r>
              <w:t>Discovery (S11)</w:t>
            </w:r>
            <w:r>
              <w:rPr>
                <w:rFonts w:ascii="Arial" w:hAnsi="Arial"/>
                <w:sz w:val="20"/>
              </w:rPr>
            </w:r>
          </w:p>
        </w:tc>
        <w:tc>
          <w:tcPr>
            <w:tcW w:type="dxa" w:w="3402"/>
            <w:tcBorders>
              <w:top w:val="single" w:sz="6" w:color="BFBFBF"/>
              <w:left w:val="single" w:sz="6" w:color="BFBFBF"/>
              <w:bottom w:val="single" w:sz="6" w:color="BFBFBF"/>
              <w:right w:val="single" w:sz="6" w:color="BFBFBF"/>
            </w:tcBorders>
          </w:tcPr>
          <w:p>
            <w:r/>
            <w:r>
              <w:rPr>
                <w:rFonts w:ascii="Arial" w:hAnsi="Arial"/>
                <w:sz w:val="20"/>
              </w:rPr>
              <w:t>Owns SIT, UAT, regression and performance testing</w:t>
            </w:r>
          </w:p>
        </w:tc>
      </w:tr>
      <w:tr>
        <w:tc>
          <w:tcPr>
            <w:tcW w:type="dxa" w:w="3402"/>
            <w:tcBorders>
              <w:top w:val="single" w:sz="6" w:color="BFBFBF"/>
              <w:left w:val="single" w:sz="6" w:color="BFBFBF"/>
              <w:bottom w:val="single" w:sz="6" w:color="BFBFBF"/>
              <w:right w:val="single" w:sz="6" w:color="BFBFBF"/>
            </w:tcBorders>
          </w:tcPr>
          <w:p>
            <w:r/>
            <w:r>
              <w:rPr>
                <w:rFonts w:ascii="Arial" w:hAnsi="Arial"/>
                <w:sz w:val="20"/>
              </w:rPr>
              <w:t>Benefit Owners</w:t>
            </w:r>
          </w:p>
        </w:tc>
        <w:tc>
          <w:tcPr>
            <w:tcW w:type="dxa" w:w="2268"/>
            <w:tcBorders>
              <w:top w:val="single" w:sz="6" w:color="BFBFBF"/>
              <w:left w:val="single" w:sz="6" w:color="BFBFBF"/>
              <w:bottom w:val="single" w:sz="6" w:color="BFBFBF"/>
              <w:right w:val="single" w:sz="6" w:color="BFBFBF"/>
            </w:tcBorders>
          </w:tcPr>
          <w:p>
            <w:r>
              <w:t>Stage 2 (named); active S18</w:t>
            </w:r>
            <w:r>
              <w:rPr>
                <w:rFonts w:ascii="Arial" w:hAnsi="Arial"/>
                <w:sz w:val="20"/>
              </w:rPr>
            </w:r>
          </w:p>
        </w:tc>
        <w:tc>
          <w:tcPr>
            <w:tcW w:type="dxa" w:w="3402"/>
            <w:tcBorders>
              <w:top w:val="single" w:sz="6" w:color="BFBFBF"/>
              <w:left w:val="single" w:sz="6" w:color="BFBFBF"/>
              <w:bottom w:val="single" w:sz="6" w:color="BFBFBF"/>
              <w:right w:val="single" w:sz="6" w:color="BFBFBF"/>
            </w:tcBorders>
          </w:tcPr>
          <w:p>
            <w:r/>
            <w:r>
              <w:rPr>
                <w:rFonts w:ascii="Arial" w:hAnsi="Arial"/>
                <w:sz w:val="20"/>
              </w:rPr>
              <w:t>On the hook for benefit realisation</w:t>
            </w:r>
          </w:p>
        </w:tc>
      </w:tr>
      <w:tr>
        <w:tc>
          <w:tcPr>
            <w:tcW w:type="dxa" w:w="3402"/>
            <w:tcBorders>
              <w:top w:val="single" w:sz="6" w:color="BFBFBF"/>
              <w:left w:val="single" w:sz="6" w:color="BFBFBF"/>
              <w:bottom w:val="single" w:sz="6" w:color="BFBFBF"/>
              <w:right w:val="single" w:sz="6" w:color="BFBFBF"/>
            </w:tcBorders>
          </w:tcPr>
          <w:p>
            <w:r/>
            <w:r>
              <w:rPr>
                <w:rFonts w:ascii="Arial" w:hAnsi="Arial"/>
                <w:sz w:val="20"/>
              </w:rPr>
              <w:t>SI roles (PD, SA, FL, TL, DM, SM)</w:t>
            </w:r>
          </w:p>
        </w:tc>
        <w:tc>
          <w:tcPr>
            <w:tcW w:type="dxa" w:w="2268"/>
            <w:tcBorders>
              <w:top w:val="single" w:sz="6" w:color="BFBFBF"/>
              <w:left w:val="single" w:sz="6" w:color="BFBFBF"/>
              <w:bottom w:val="single" w:sz="6" w:color="BFBFBF"/>
              <w:right w:val="single" w:sz="6" w:color="BFBFBF"/>
            </w:tcBorders>
          </w:tcPr>
          <w:p>
            <w:r>
              <w:t>S10</w:t>
            </w:r>
            <w:r>
              <w:rPr>
                <w:rFonts w:ascii="Arial" w:hAnsi="Arial"/>
                <w:sz w:val="20"/>
              </w:rPr>
            </w:r>
          </w:p>
        </w:tc>
        <w:tc>
          <w:tcPr>
            <w:tcW w:type="dxa" w:w="3402"/>
            <w:tcBorders>
              <w:top w:val="single" w:sz="6" w:color="BFBFBF"/>
              <w:left w:val="single" w:sz="6" w:color="BFBFBF"/>
              <w:bottom w:val="single" w:sz="6" w:color="BFBFBF"/>
              <w:right w:val="single" w:sz="6" w:color="BFBFBF"/>
            </w:tcBorders>
          </w:tcPr>
          <w:p>
            <w:r/>
            <w:r>
              <w:rPr>
                <w:rFonts w:ascii="Arial" w:hAnsi="Arial"/>
                <w:sz w:val="20"/>
              </w:rPr>
              <w:t>Onboarded against signed MSA</w:t>
            </w:r>
          </w:p>
        </w:tc>
      </w:tr>
    </w:tbl>
    <w:p/>
    <w:p>
      <w:pPr>
        <w:pStyle w:val="Heading1"/>
      </w:pPr>
      <w:r>
        <w:t>7. Funding &amp; business case</w:t>
      </w:r>
    </w:p>
    <w:p>
      <w:r>
        <w:rPr>
          <w:rFonts w:ascii="Arial" w:hAnsi="Arial"/>
          <w:b w:val="0"/>
          <w:i w:val="0"/>
          <w:sz w:val="22"/>
        </w:rPr>
        <w:t>The business case matures across four checkpoints. This Charter operates within the S6 Funding Envelope (±30–40%) until the Full Business Case is confirmed at Stage 12 (±10–15%). Any forecast that breaches the S6 upper bound triggers an ESG decision before continuing.</w:t>
      </w:r>
    </w:p>
    <w:tbl>
      <w:tblPr>
        <w:tblW w:type="auto" w:w="0"/>
        <w:tblLayout w:type="fixed"/>
        <w:tblLook w:firstColumn="1" w:firstRow="1" w:lastColumn="0" w:lastRow="0" w:noHBand="0" w:noVBand="1" w:val="04A0"/>
      </w:tblPr>
      <w:tblGrid>
        <w:gridCol w:w="2160"/>
        <w:gridCol w:w="2160"/>
        <w:gridCol w:w="2160"/>
        <w:gridCol w:w="2160"/>
      </w:tblGrid>
      <w:tr>
        <w:tc>
          <w:tcPr>
            <w:tcW w:type="dxa" w:w="1134"/>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Stage</w:t>
            </w:r>
          </w:p>
        </w:tc>
        <w:tc>
          <w:tcPr>
            <w:tcW w:type="dxa" w:w="4535"/>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Business case milestone</w:t>
            </w:r>
          </w:p>
        </w:tc>
        <w:tc>
          <w:tcPr>
            <w:tcW w:type="dxa" w:w="1701"/>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Variance</w:t>
            </w:r>
          </w:p>
        </w:tc>
        <w:tc>
          <w:tcPr>
            <w:tcW w:type="dxa" w:w="1701"/>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Authority</w:t>
            </w:r>
          </w:p>
        </w:tc>
      </w:tr>
      <w:tr>
        <w:tc>
          <w:tcPr>
            <w:tcW w:type="dxa" w:w="1134"/>
            <w:tcBorders>
              <w:top w:val="single" w:sz="6" w:color="BFBFBF"/>
              <w:left w:val="single" w:sz="6" w:color="BFBFBF"/>
              <w:bottom w:val="single" w:sz="6" w:color="BFBFBF"/>
              <w:right w:val="single" w:sz="6" w:color="BFBFBF"/>
            </w:tcBorders>
          </w:tcPr>
          <w:p>
            <w:r/>
            <w:r>
              <w:rPr>
                <w:rFonts w:ascii="Arial" w:hAnsi="Arial"/>
                <w:sz w:val="20"/>
              </w:rPr>
              <w:t>2</w:t>
            </w:r>
          </w:p>
        </w:tc>
        <w:tc>
          <w:tcPr>
            <w:tcW w:type="dxa" w:w="4535"/>
            <w:tcBorders>
              <w:top w:val="single" w:sz="6" w:color="BFBFBF"/>
              <w:left w:val="single" w:sz="6" w:color="BFBFBF"/>
              <w:bottom w:val="single" w:sz="6" w:color="BFBFBF"/>
              <w:right w:val="single" w:sz="6" w:color="BFBFBF"/>
            </w:tcBorders>
          </w:tcPr>
          <w:p>
            <w:r/>
            <w:r>
              <w:rPr>
                <w:rFonts w:ascii="Arial" w:hAnsi="Arial"/>
                <w:sz w:val="20"/>
              </w:rPr>
              <w:t>Benefits Map and ROI Driver Matrix</w:t>
            </w:r>
          </w:p>
        </w:tc>
        <w:tc>
          <w:tcPr>
            <w:tcW w:type="dxa" w:w="1701"/>
            <w:tcBorders>
              <w:top w:val="single" w:sz="6" w:color="BFBFBF"/>
              <w:left w:val="single" w:sz="6" w:color="BFBFBF"/>
              <w:bottom w:val="single" w:sz="6" w:color="BFBFBF"/>
              <w:right w:val="single" w:sz="6" w:color="BFBFBF"/>
            </w:tcBorders>
          </w:tcPr>
          <w:p>
            <w:r/>
            <w:r>
              <w:rPr>
                <w:rFonts w:ascii="Arial" w:hAnsi="Arial"/>
                <w:sz w:val="20"/>
              </w:rPr>
              <w:t>n/a</w:t>
            </w:r>
          </w:p>
        </w:tc>
        <w:tc>
          <w:tcPr>
            <w:tcW w:type="dxa" w:w="1701"/>
            <w:tcBorders>
              <w:top w:val="single" w:sz="6" w:color="BFBFBF"/>
              <w:left w:val="single" w:sz="6" w:color="BFBFBF"/>
              <w:bottom w:val="single" w:sz="6" w:color="BFBFBF"/>
              <w:right w:val="single" w:sz="6" w:color="BFBFBF"/>
            </w:tcBorders>
          </w:tcPr>
          <w:p>
            <w:r/>
            <w:r>
              <w:rPr>
                <w:rFonts w:ascii="Arial" w:hAnsi="Arial"/>
                <w:sz w:val="20"/>
              </w:rPr>
              <w:t>Sponsor</w:t>
            </w:r>
          </w:p>
        </w:tc>
      </w:tr>
      <w:tr>
        <w:tc>
          <w:tcPr>
            <w:tcW w:type="dxa" w:w="1134"/>
            <w:tcBorders>
              <w:top w:val="single" w:sz="6" w:color="BFBFBF"/>
              <w:left w:val="single" w:sz="6" w:color="BFBFBF"/>
              <w:bottom w:val="single" w:sz="6" w:color="BFBFBF"/>
              <w:right w:val="single" w:sz="6" w:color="BFBFBF"/>
            </w:tcBorders>
          </w:tcPr>
          <w:p>
            <w:r/>
            <w:r>
              <w:rPr>
                <w:rFonts w:ascii="Arial" w:hAnsi="Arial"/>
                <w:sz w:val="20"/>
              </w:rPr>
              <w:t>6</w:t>
            </w:r>
          </w:p>
        </w:tc>
        <w:tc>
          <w:tcPr>
            <w:tcW w:type="dxa" w:w="4535"/>
            <w:tcBorders>
              <w:top w:val="single" w:sz="6" w:color="BFBFBF"/>
              <w:left w:val="single" w:sz="6" w:color="BFBFBF"/>
              <w:bottom w:val="single" w:sz="6" w:color="BFBFBF"/>
              <w:right w:val="single" w:sz="6" w:color="BFBFBF"/>
            </w:tcBorders>
          </w:tcPr>
          <w:p>
            <w:r/>
            <w:r>
              <w:rPr>
                <w:rFonts w:ascii="Arial" w:hAnsi="Arial"/>
                <w:sz w:val="20"/>
              </w:rPr>
              <w:t>Funding Envelope (Gate 1)</w:t>
            </w:r>
          </w:p>
        </w:tc>
        <w:tc>
          <w:tcPr>
            <w:tcW w:type="dxa" w:w="1701"/>
            <w:tcBorders>
              <w:top w:val="single" w:sz="6" w:color="BFBFBF"/>
              <w:left w:val="single" w:sz="6" w:color="BFBFBF"/>
              <w:bottom w:val="single" w:sz="6" w:color="BFBFBF"/>
              <w:right w:val="single" w:sz="6" w:color="BFBFBF"/>
            </w:tcBorders>
          </w:tcPr>
          <w:p>
            <w:r/>
            <w:r>
              <w:rPr>
                <w:rFonts w:ascii="Arial" w:hAnsi="Arial"/>
                <w:sz w:val="20"/>
              </w:rPr>
              <w:t>±30–40%</w:t>
            </w:r>
          </w:p>
        </w:tc>
        <w:tc>
          <w:tcPr>
            <w:tcW w:type="dxa" w:w="1701"/>
            <w:tcBorders>
              <w:top w:val="single" w:sz="6" w:color="BFBFBF"/>
              <w:left w:val="single" w:sz="6" w:color="BFBFBF"/>
              <w:bottom w:val="single" w:sz="6" w:color="BFBFBF"/>
              <w:right w:val="single" w:sz="6" w:color="BFBFBF"/>
            </w:tcBorders>
          </w:tcPr>
          <w:p>
            <w:r/>
            <w:r>
              <w:rPr>
                <w:rFonts w:ascii="Arial" w:hAnsi="Arial"/>
                <w:sz w:val="20"/>
              </w:rPr>
              <w:t>Board</w:t>
            </w:r>
          </w:p>
        </w:tc>
      </w:tr>
      <w:tr>
        <w:tc>
          <w:tcPr>
            <w:tcW w:type="dxa" w:w="1134"/>
            <w:tcBorders>
              <w:top w:val="single" w:sz="6" w:color="BFBFBF"/>
              <w:left w:val="single" w:sz="6" w:color="BFBFBF"/>
              <w:bottom w:val="single" w:sz="6" w:color="BFBFBF"/>
              <w:right w:val="single" w:sz="6" w:color="BFBFBF"/>
            </w:tcBorders>
          </w:tcPr>
          <w:p>
            <w:r/>
            <w:r>
              <w:rPr>
                <w:rFonts w:ascii="Arial" w:hAnsi="Arial"/>
                <w:sz w:val="20"/>
              </w:rPr>
              <w:t>9</w:t>
            </w:r>
          </w:p>
        </w:tc>
        <w:tc>
          <w:tcPr>
            <w:tcW w:type="dxa" w:w="4535"/>
            <w:tcBorders>
              <w:top w:val="single" w:sz="6" w:color="BFBFBF"/>
              <w:left w:val="single" w:sz="6" w:color="BFBFBF"/>
              <w:bottom w:val="single" w:sz="6" w:color="BFBFBF"/>
              <w:right w:val="single" w:sz="6" w:color="BFBFBF"/>
            </w:tcBorders>
          </w:tcPr>
          <w:p>
            <w:r/>
            <w:r>
              <w:rPr>
                <w:rFonts w:ascii="Arial" w:hAnsi="Arial"/>
                <w:sz w:val="20"/>
              </w:rPr>
              <w:t>SI ROM added</w:t>
            </w:r>
          </w:p>
        </w:tc>
        <w:tc>
          <w:tcPr>
            <w:tcW w:type="dxa" w:w="1701"/>
            <w:tcBorders>
              <w:top w:val="single" w:sz="6" w:color="BFBFBF"/>
              <w:left w:val="single" w:sz="6" w:color="BFBFBF"/>
              <w:bottom w:val="single" w:sz="6" w:color="BFBFBF"/>
              <w:right w:val="single" w:sz="6" w:color="BFBFBF"/>
            </w:tcBorders>
          </w:tcPr>
          <w:p>
            <w:r/>
            <w:r>
              <w:rPr>
                <w:rFonts w:ascii="Arial" w:hAnsi="Arial"/>
                <w:sz w:val="20"/>
              </w:rPr>
              <w:t>±30%</w:t>
            </w:r>
          </w:p>
        </w:tc>
        <w:tc>
          <w:tcPr>
            <w:tcW w:type="dxa" w:w="1701"/>
            <w:tcBorders>
              <w:top w:val="single" w:sz="6" w:color="BFBFBF"/>
              <w:left w:val="single" w:sz="6" w:color="BFBFBF"/>
              <w:bottom w:val="single" w:sz="6" w:color="BFBFBF"/>
              <w:right w:val="single" w:sz="6" w:color="BFBFBF"/>
            </w:tcBorders>
          </w:tcPr>
          <w:p>
            <w:r/>
            <w:r>
              <w:rPr>
                <w:rFonts w:ascii="Arial" w:hAnsi="Arial"/>
                <w:sz w:val="20"/>
              </w:rPr>
              <w:t>Sponsor</w:t>
            </w:r>
          </w:p>
        </w:tc>
      </w:tr>
      <w:tr>
        <w:tc>
          <w:tcPr>
            <w:tcW w:type="dxa" w:w="1134"/>
            <w:tcBorders>
              <w:top w:val="single" w:sz="6" w:color="BFBFBF"/>
              <w:left w:val="single" w:sz="6" w:color="BFBFBF"/>
              <w:bottom w:val="single" w:sz="6" w:color="BFBFBF"/>
              <w:right w:val="single" w:sz="6" w:color="BFBFBF"/>
            </w:tcBorders>
          </w:tcPr>
          <w:p>
            <w:r/>
            <w:r>
              <w:rPr>
                <w:rFonts w:ascii="Arial" w:hAnsi="Arial"/>
                <w:sz w:val="20"/>
              </w:rPr>
              <w:t>12</w:t>
            </w:r>
          </w:p>
        </w:tc>
        <w:tc>
          <w:tcPr>
            <w:tcW w:type="dxa" w:w="4535"/>
            <w:tcBorders>
              <w:top w:val="single" w:sz="6" w:color="BFBFBF"/>
              <w:left w:val="single" w:sz="6" w:color="BFBFBF"/>
              <w:bottom w:val="single" w:sz="6" w:color="BFBFBF"/>
              <w:right w:val="single" w:sz="6" w:color="BFBFBF"/>
            </w:tcBorders>
          </w:tcPr>
          <w:p>
            <w:r/>
            <w:r>
              <w:rPr>
                <w:rFonts w:ascii="Arial" w:hAnsi="Arial"/>
                <w:sz w:val="20"/>
              </w:rPr>
              <w:t>Full Business Case (Gate 2)</w:t>
            </w:r>
          </w:p>
        </w:tc>
        <w:tc>
          <w:tcPr>
            <w:tcW w:type="dxa" w:w="1701"/>
            <w:tcBorders>
              <w:top w:val="single" w:sz="6" w:color="BFBFBF"/>
              <w:left w:val="single" w:sz="6" w:color="BFBFBF"/>
              <w:bottom w:val="single" w:sz="6" w:color="BFBFBF"/>
              <w:right w:val="single" w:sz="6" w:color="BFBFBF"/>
            </w:tcBorders>
          </w:tcPr>
          <w:p>
            <w:r/>
            <w:r>
              <w:rPr>
                <w:rFonts w:ascii="Arial" w:hAnsi="Arial"/>
                <w:sz w:val="20"/>
              </w:rPr>
              <w:t>±10–15%</w:t>
            </w:r>
          </w:p>
        </w:tc>
        <w:tc>
          <w:tcPr>
            <w:tcW w:type="dxa" w:w="1701"/>
            <w:tcBorders>
              <w:top w:val="single" w:sz="6" w:color="BFBFBF"/>
              <w:left w:val="single" w:sz="6" w:color="BFBFBF"/>
              <w:bottom w:val="single" w:sz="6" w:color="BFBFBF"/>
              <w:right w:val="single" w:sz="6" w:color="BFBFBF"/>
            </w:tcBorders>
          </w:tcPr>
          <w:p>
            <w:r/>
            <w:r>
              <w:rPr>
                <w:rFonts w:ascii="Arial" w:hAnsi="Arial"/>
                <w:sz w:val="20"/>
              </w:rPr>
              <w:t>Board</w:t>
            </w:r>
          </w:p>
        </w:tc>
      </w:tr>
    </w:tbl>
    <w:p/>
    <w:p>
      <w:pPr>
        <w:pStyle w:val="Heading1"/>
      </w:pPr>
      <w:r>
        <w:t>8. Success criteria</w:t>
      </w:r>
    </w:p>
    <w:p>
      <w:r>
        <w:rPr>
          <w:rFonts w:ascii="Arial" w:hAnsi="Arial"/>
          <w:b w:val="0"/>
          <w:i w:val="0"/>
          <w:sz w:val="22"/>
        </w:rPr>
        <w:t>The programme is deemed successful when ALL of the following are achieved:</w:t>
      </w:r>
    </w:p>
    <w:p>
      <w:pPr>
        <w:pStyle w:val="ListBullet"/>
      </w:pPr>
      <w:r>
        <w:rPr>
          <w:rFonts w:ascii="Arial" w:hAnsi="Arial"/>
          <w:sz w:val="22"/>
        </w:rPr>
        <w:t>Go-live without a P1 incident open at T+5 working days</w:t>
      </w:r>
    </w:p>
    <w:p>
      <w:pPr>
        <w:pStyle w:val="ListBullet"/>
      </w:pPr>
      <w:r>
        <w:rPr>
          <w:rFonts w:ascii="Arial" w:hAnsi="Arial"/>
          <w:sz w:val="22"/>
        </w:rPr>
        <w:t>Period-end close completed in the new system within target working days for the first three closes</w:t>
      </w:r>
    </w:p>
    <w:p>
      <w:pPr>
        <w:pStyle w:val="ListBullet"/>
      </w:pPr>
      <w:r>
        <w:rPr>
          <w:rFonts w:ascii="Arial" w:hAnsi="Arial"/>
          <w:sz w:val="22"/>
        </w:rPr>
        <w:t>User adoption ≥ 95% by end of hypercare (Wk 8 post go-live)</w:t>
      </w:r>
    </w:p>
    <w:p>
      <w:pPr>
        <w:pStyle w:val="ListBullet"/>
      </w:pPr>
      <w:r>
        <w:rPr>
          <w:rFonts w:ascii="Arial" w:hAnsi="Arial"/>
          <w:sz w:val="22"/>
        </w:rPr>
        <w:t>Benefits tracked and reported quarterly from S18 against the ROI Driver Matrix</w:t>
      </w:r>
    </w:p>
    <w:p>
      <w:pPr>
        <w:pStyle w:val="ListBullet"/>
      </w:pPr>
      <w:r>
        <w:rPr>
          <w:rFonts w:ascii="Arial" w:hAnsi="Arial"/>
          <w:sz w:val="22"/>
        </w:rPr>
        <w:t>Total programme cost within ±10% of the S12 Full Business Case</w:t>
      </w:r>
    </w:p>
    <w:p>
      <w:pPr>
        <w:pStyle w:val="ListBullet"/>
      </w:pPr>
      <w:r>
        <w:rPr>
          <w:rFonts w:ascii="Arial" w:hAnsi="Arial"/>
          <w:sz w:val="22"/>
        </w:rPr>
        <w:t>Zero SOX exceptions in the first audit cycle post go-live</w:t>
      </w:r>
    </w:p>
    <w:p>
      <w:pPr>
        <w:pStyle w:val="Heading1"/>
      </w:pPr>
      <w:r>
        <w:t>9. Risk overview</w:t>
      </w:r>
    </w:p>
    <w:p>
      <w:r>
        <w:rPr>
          <w:rFonts w:ascii="Arial" w:hAnsi="Arial"/>
          <w:b w:val="0"/>
          <w:i w:val="0"/>
          <w:sz w:val="22"/>
        </w:rPr>
        <w:t>Top-of-mind risks at Charter sign-off (full register held in the RAID Log):</w:t>
      </w:r>
    </w:p>
    <w:tbl>
      <w:tblPr>
        <w:tblW w:type="auto" w:w="0"/>
        <w:tblLayout w:type="fixed"/>
        <w:tblLook w:firstColumn="1" w:firstRow="1" w:lastColumn="0" w:lastRow="0" w:noHBand="0" w:noVBand="1" w:val="04A0"/>
      </w:tblPr>
      <w:tblGrid>
        <w:gridCol w:w="2160"/>
        <w:gridCol w:w="2160"/>
        <w:gridCol w:w="2160"/>
        <w:gridCol w:w="2160"/>
      </w:tblGrid>
      <w:tr>
        <w:tc>
          <w:tcPr>
            <w:tcW w:type="dxa" w:w="4535"/>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Risk</w:t>
            </w:r>
          </w:p>
        </w:tc>
        <w:tc>
          <w:tcPr>
            <w:tcW w:type="dxa" w:w="1417"/>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Likelihood</w:t>
            </w:r>
          </w:p>
        </w:tc>
        <w:tc>
          <w:tcPr>
            <w:tcW w:type="dxa" w:w="1417"/>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Impact</w:t>
            </w:r>
          </w:p>
        </w:tc>
        <w:tc>
          <w:tcPr>
            <w:tcW w:type="dxa" w:w="2268"/>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Owner</w:t>
            </w:r>
          </w:p>
        </w:tc>
      </w:tr>
      <w:tr>
        <w:tc>
          <w:tcPr>
            <w:tcW w:type="dxa" w:w="4535"/>
            <w:tcBorders>
              <w:top w:val="single" w:sz="6" w:color="BFBFBF"/>
              <w:left w:val="single" w:sz="6" w:color="BFBFBF"/>
              <w:bottom w:val="single" w:sz="6" w:color="BFBFBF"/>
              <w:right w:val="single" w:sz="6" w:color="BFBFBF"/>
            </w:tcBorders>
          </w:tcPr>
          <w:p>
            <w:r/>
            <w:r>
              <w:rPr>
                <w:rFonts w:ascii="Arial" w:hAnsi="Arial"/>
                <w:sz w:val="20"/>
              </w:rPr>
              <w:t>Process Owners not named in time for Discovery</w:t>
            </w:r>
          </w:p>
        </w:tc>
        <w:tc>
          <w:tcPr>
            <w:tcW w:type="dxa" w:w="1417"/>
            <w:tcBorders>
              <w:top w:val="single" w:sz="6" w:color="BFBFBF"/>
              <w:left w:val="single" w:sz="6" w:color="BFBFBF"/>
              <w:bottom w:val="single" w:sz="6" w:color="BFBFBF"/>
              <w:right w:val="single" w:sz="6" w:color="BFBFBF"/>
            </w:tcBorders>
          </w:tcPr>
          <w:p>
            <w:r/>
            <w:r>
              <w:rPr>
                <w:rFonts w:ascii="Arial" w:hAnsi="Arial"/>
                <w:sz w:val="20"/>
              </w:rPr>
              <w:t>Medium</w:t>
            </w:r>
          </w:p>
        </w:tc>
        <w:tc>
          <w:tcPr>
            <w:tcW w:type="dxa" w:w="1417"/>
            <w:tcBorders>
              <w:top w:val="single" w:sz="6" w:color="BFBFBF"/>
              <w:left w:val="single" w:sz="6" w:color="BFBFBF"/>
              <w:bottom w:val="single" w:sz="6" w:color="BFBFBF"/>
              <w:right w:val="single" w:sz="6" w:color="BFBFBF"/>
            </w:tcBorders>
          </w:tcPr>
          <w:p>
            <w:r/>
            <w:r>
              <w:rPr>
                <w:rFonts w:ascii="Arial" w:hAnsi="Arial"/>
                <w:sz w:val="20"/>
              </w:rPr>
              <w:t>High</w:t>
            </w:r>
          </w:p>
        </w:tc>
        <w:tc>
          <w:tcPr>
            <w:tcW w:type="dxa" w:w="2268"/>
            <w:tcBorders>
              <w:top w:val="single" w:sz="6" w:color="BFBFBF"/>
              <w:left w:val="single" w:sz="6" w:color="BFBFBF"/>
              <w:bottom w:val="single" w:sz="6" w:color="BFBFBF"/>
              <w:right w:val="single" w:sz="6" w:color="BFBFBF"/>
            </w:tcBorders>
          </w:tcPr>
          <w:p>
            <w:r/>
            <w:r>
              <w:rPr>
                <w:rFonts w:ascii="Arial" w:hAnsi="Arial"/>
                <w:sz w:val="20"/>
              </w:rPr>
              <w:t>Programme Manager</w:t>
            </w:r>
          </w:p>
        </w:tc>
      </w:tr>
      <w:tr>
        <w:tc>
          <w:tcPr>
            <w:tcW w:type="dxa" w:w="4535"/>
            <w:tcBorders>
              <w:top w:val="single" w:sz="6" w:color="BFBFBF"/>
              <w:left w:val="single" w:sz="6" w:color="BFBFBF"/>
              <w:bottom w:val="single" w:sz="6" w:color="BFBFBF"/>
              <w:right w:val="single" w:sz="6" w:color="BFBFBF"/>
            </w:tcBorders>
          </w:tcPr>
          <w:p>
            <w:r/>
            <w:r>
              <w:rPr>
                <w:rFonts w:ascii="Arial" w:hAnsi="Arial"/>
                <w:sz w:val="20"/>
              </w:rPr>
              <w:t>Master data quality below threshold for mock loads</w:t>
            </w:r>
          </w:p>
        </w:tc>
        <w:tc>
          <w:tcPr>
            <w:tcW w:type="dxa" w:w="1417"/>
            <w:tcBorders>
              <w:top w:val="single" w:sz="6" w:color="BFBFBF"/>
              <w:left w:val="single" w:sz="6" w:color="BFBFBF"/>
              <w:bottom w:val="single" w:sz="6" w:color="BFBFBF"/>
              <w:right w:val="single" w:sz="6" w:color="BFBFBF"/>
            </w:tcBorders>
          </w:tcPr>
          <w:p>
            <w:r/>
            <w:r>
              <w:rPr>
                <w:rFonts w:ascii="Arial" w:hAnsi="Arial"/>
                <w:sz w:val="20"/>
              </w:rPr>
              <w:t>High</w:t>
            </w:r>
          </w:p>
        </w:tc>
        <w:tc>
          <w:tcPr>
            <w:tcW w:type="dxa" w:w="1417"/>
            <w:tcBorders>
              <w:top w:val="single" w:sz="6" w:color="BFBFBF"/>
              <w:left w:val="single" w:sz="6" w:color="BFBFBF"/>
              <w:bottom w:val="single" w:sz="6" w:color="BFBFBF"/>
              <w:right w:val="single" w:sz="6" w:color="BFBFBF"/>
            </w:tcBorders>
          </w:tcPr>
          <w:p>
            <w:r/>
            <w:r>
              <w:rPr>
                <w:rFonts w:ascii="Arial" w:hAnsi="Arial"/>
                <w:sz w:val="20"/>
              </w:rPr>
              <w:t>High</w:t>
            </w:r>
          </w:p>
        </w:tc>
        <w:tc>
          <w:tcPr>
            <w:tcW w:type="dxa" w:w="2268"/>
            <w:tcBorders>
              <w:top w:val="single" w:sz="6" w:color="BFBFBF"/>
              <w:left w:val="single" w:sz="6" w:color="BFBFBF"/>
              <w:bottom w:val="single" w:sz="6" w:color="BFBFBF"/>
              <w:right w:val="single" w:sz="6" w:color="BFBFBF"/>
            </w:tcBorders>
          </w:tcPr>
          <w:p>
            <w:r/>
            <w:r>
              <w:rPr>
                <w:rFonts w:ascii="Arial" w:hAnsi="Arial"/>
                <w:sz w:val="20"/>
              </w:rPr>
              <w:t>Data Migration Lead</w:t>
            </w:r>
          </w:p>
        </w:tc>
      </w:tr>
      <w:tr>
        <w:tc>
          <w:tcPr>
            <w:tcW w:type="dxa" w:w="4535"/>
            <w:tcBorders>
              <w:top w:val="single" w:sz="6" w:color="BFBFBF"/>
              <w:left w:val="single" w:sz="6" w:color="BFBFBF"/>
              <w:bottom w:val="single" w:sz="6" w:color="BFBFBF"/>
              <w:right w:val="single" w:sz="6" w:color="BFBFBF"/>
            </w:tcBorders>
          </w:tcPr>
          <w:p>
            <w:r/>
            <w:r>
              <w:rPr>
                <w:rFonts w:ascii="Arial" w:hAnsi="Arial"/>
                <w:sz w:val="20"/>
              </w:rPr>
              <w:t>UAT run by Process Owners rather than independent testers</w:t>
            </w:r>
          </w:p>
        </w:tc>
        <w:tc>
          <w:tcPr>
            <w:tcW w:type="dxa" w:w="1417"/>
            <w:tcBorders>
              <w:top w:val="single" w:sz="6" w:color="BFBFBF"/>
              <w:left w:val="single" w:sz="6" w:color="BFBFBF"/>
              <w:bottom w:val="single" w:sz="6" w:color="BFBFBF"/>
              <w:right w:val="single" w:sz="6" w:color="BFBFBF"/>
            </w:tcBorders>
          </w:tcPr>
          <w:p>
            <w:r/>
            <w:r>
              <w:rPr>
                <w:rFonts w:ascii="Arial" w:hAnsi="Arial"/>
                <w:sz w:val="20"/>
              </w:rPr>
              <w:t>Medium</w:t>
            </w:r>
          </w:p>
        </w:tc>
        <w:tc>
          <w:tcPr>
            <w:tcW w:type="dxa" w:w="1417"/>
            <w:tcBorders>
              <w:top w:val="single" w:sz="6" w:color="BFBFBF"/>
              <w:left w:val="single" w:sz="6" w:color="BFBFBF"/>
              <w:bottom w:val="single" w:sz="6" w:color="BFBFBF"/>
              <w:right w:val="single" w:sz="6" w:color="BFBFBF"/>
            </w:tcBorders>
          </w:tcPr>
          <w:p>
            <w:r/>
            <w:r>
              <w:rPr>
                <w:rFonts w:ascii="Arial" w:hAnsi="Arial"/>
                <w:sz w:val="20"/>
              </w:rPr>
              <w:t>High</w:t>
            </w:r>
          </w:p>
        </w:tc>
        <w:tc>
          <w:tcPr>
            <w:tcW w:type="dxa" w:w="2268"/>
            <w:tcBorders>
              <w:top w:val="single" w:sz="6" w:color="BFBFBF"/>
              <w:left w:val="single" w:sz="6" w:color="BFBFBF"/>
              <w:bottom w:val="single" w:sz="6" w:color="BFBFBF"/>
              <w:right w:val="single" w:sz="6" w:color="BFBFBF"/>
            </w:tcBorders>
          </w:tcPr>
          <w:p>
            <w:r>
              <w:t>Client Test Manager</w:t>
            </w:r>
            <w:r>
              <w:rPr>
                <w:rFonts w:ascii="Arial" w:hAnsi="Arial"/>
                <w:sz w:val="20"/>
              </w:rPr>
            </w:r>
          </w:p>
        </w:tc>
      </w:tr>
      <w:tr>
        <w:tc>
          <w:tcPr>
            <w:tcW w:type="dxa" w:w="4535"/>
            <w:tcBorders>
              <w:top w:val="single" w:sz="6" w:color="BFBFBF"/>
              <w:left w:val="single" w:sz="6" w:color="BFBFBF"/>
              <w:bottom w:val="single" w:sz="6" w:color="BFBFBF"/>
              <w:right w:val="single" w:sz="6" w:color="BFBFBF"/>
            </w:tcBorders>
          </w:tcPr>
          <w:p>
            <w:r>
              <w:t>SI firm pricing exceeds S9 ROM upper bound</w:t>
            </w:r>
            <w:r>
              <w:rPr>
                <w:rFonts w:ascii="Arial" w:hAnsi="Arial"/>
                <w:sz w:val="20"/>
              </w:rPr>
            </w:r>
          </w:p>
        </w:tc>
        <w:tc>
          <w:tcPr>
            <w:tcW w:type="dxa" w:w="1417"/>
            <w:tcBorders>
              <w:top w:val="single" w:sz="6" w:color="BFBFBF"/>
              <w:left w:val="single" w:sz="6" w:color="BFBFBF"/>
              <w:bottom w:val="single" w:sz="6" w:color="BFBFBF"/>
              <w:right w:val="single" w:sz="6" w:color="BFBFBF"/>
            </w:tcBorders>
          </w:tcPr>
          <w:p>
            <w:r/>
            <w:r>
              <w:rPr>
                <w:rFonts w:ascii="Arial" w:hAnsi="Arial"/>
                <w:sz w:val="20"/>
              </w:rPr>
              <w:t>Medium</w:t>
            </w:r>
          </w:p>
        </w:tc>
        <w:tc>
          <w:tcPr>
            <w:tcW w:type="dxa" w:w="1417"/>
            <w:tcBorders>
              <w:top w:val="single" w:sz="6" w:color="BFBFBF"/>
              <w:left w:val="single" w:sz="6" w:color="BFBFBF"/>
              <w:bottom w:val="single" w:sz="6" w:color="BFBFBF"/>
              <w:right w:val="single" w:sz="6" w:color="BFBFBF"/>
            </w:tcBorders>
          </w:tcPr>
          <w:p>
            <w:r/>
            <w:r>
              <w:rPr>
                <w:rFonts w:ascii="Arial" w:hAnsi="Arial"/>
                <w:sz w:val="20"/>
              </w:rPr>
              <w:t>High</w:t>
            </w:r>
          </w:p>
        </w:tc>
        <w:tc>
          <w:tcPr>
            <w:tcW w:type="dxa" w:w="2268"/>
            <w:tcBorders>
              <w:top w:val="single" w:sz="6" w:color="BFBFBF"/>
              <w:left w:val="single" w:sz="6" w:color="BFBFBF"/>
              <w:bottom w:val="single" w:sz="6" w:color="BFBFBF"/>
              <w:right w:val="single" w:sz="6" w:color="BFBFBF"/>
            </w:tcBorders>
          </w:tcPr>
          <w:p>
            <w:r/>
            <w:r>
              <w:rPr>
                <w:rFonts w:ascii="Arial" w:hAnsi="Arial"/>
                <w:sz w:val="20"/>
              </w:rPr>
              <w:t>Executive Sponsor</w:t>
            </w:r>
          </w:p>
        </w:tc>
      </w:tr>
      <w:tr>
        <w:tc>
          <w:tcPr>
            <w:tcW w:type="dxa" w:w="4535"/>
            <w:tcBorders>
              <w:top w:val="single" w:sz="6" w:color="BFBFBF"/>
              <w:left w:val="single" w:sz="6" w:color="BFBFBF"/>
              <w:bottom w:val="single" w:sz="6" w:color="BFBFBF"/>
              <w:right w:val="single" w:sz="6" w:color="BFBFBF"/>
            </w:tcBorders>
          </w:tcPr>
          <w:p>
            <w:r/>
            <w:r>
              <w:rPr>
                <w:rFonts w:ascii="Arial" w:hAnsi="Arial"/>
                <w:sz w:val="20"/>
              </w:rPr>
              <w:t>Hypercare resourcing not contractually locked</w:t>
            </w:r>
          </w:p>
        </w:tc>
        <w:tc>
          <w:tcPr>
            <w:tcW w:type="dxa" w:w="1417"/>
            <w:tcBorders>
              <w:top w:val="single" w:sz="6" w:color="BFBFBF"/>
              <w:left w:val="single" w:sz="6" w:color="BFBFBF"/>
              <w:bottom w:val="single" w:sz="6" w:color="BFBFBF"/>
              <w:right w:val="single" w:sz="6" w:color="BFBFBF"/>
            </w:tcBorders>
          </w:tcPr>
          <w:p>
            <w:r/>
            <w:r>
              <w:rPr>
                <w:rFonts w:ascii="Arial" w:hAnsi="Arial"/>
                <w:sz w:val="20"/>
              </w:rPr>
              <w:t>Medium</w:t>
            </w:r>
          </w:p>
        </w:tc>
        <w:tc>
          <w:tcPr>
            <w:tcW w:type="dxa" w:w="1417"/>
            <w:tcBorders>
              <w:top w:val="single" w:sz="6" w:color="BFBFBF"/>
              <w:left w:val="single" w:sz="6" w:color="BFBFBF"/>
              <w:bottom w:val="single" w:sz="6" w:color="BFBFBF"/>
              <w:right w:val="single" w:sz="6" w:color="BFBFBF"/>
            </w:tcBorders>
          </w:tcPr>
          <w:p>
            <w:r/>
            <w:r>
              <w:rPr>
                <w:rFonts w:ascii="Arial" w:hAnsi="Arial"/>
                <w:sz w:val="20"/>
              </w:rPr>
              <w:t>High</w:t>
            </w:r>
          </w:p>
        </w:tc>
        <w:tc>
          <w:tcPr>
            <w:tcW w:type="dxa" w:w="2268"/>
            <w:tcBorders>
              <w:top w:val="single" w:sz="6" w:color="BFBFBF"/>
              <w:left w:val="single" w:sz="6" w:color="BFBFBF"/>
              <w:bottom w:val="single" w:sz="6" w:color="BFBFBF"/>
              <w:right w:val="single" w:sz="6" w:color="BFBFBF"/>
            </w:tcBorders>
          </w:tcPr>
          <w:p>
            <w:r/>
            <w:r>
              <w:rPr>
                <w:rFonts w:ascii="Arial" w:hAnsi="Arial"/>
                <w:sz w:val="20"/>
              </w:rPr>
              <w:t>SI Programme Director</w:t>
            </w:r>
          </w:p>
        </w:tc>
      </w:tr>
    </w:tbl>
    <w:p/>
    <w:p>
      <w:pPr>
        <w:pStyle w:val="Heading1"/>
      </w:pPr>
      <w:r>
        <w:t>10. Sign-off</w:t>
      </w:r>
    </w:p>
    <w:tbl>
      <w:tblPr>
        <w:tblW w:type="auto" w:w="0"/>
        <w:tblLayout w:type="fixed"/>
        <w:tblLook w:firstColumn="1" w:firstRow="1" w:lastColumn="0" w:lastRow="0" w:noHBand="0" w:noVBand="1" w:val="04A0"/>
      </w:tblPr>
      <w:tblGrid>
        <w:gridCol w:w="2160"/>
        <w:gridCol w:w="2160"/>
        <w:gridCol w:w="2160"/>
        <w:gridCol w:w="2160"/>
      </w:tblGrid>
      <w:tr>
        <w:tc>
          <w:tcPr>
            <w:tcW w:type="dxa" w:w="2268"/>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Role</w:t>
            </w:r>
          </w:p>
        </w:tc>
        <w:tc>
          <w:tcPr>
            <w:tcW w:type="dxa" w:w="2835"/>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Name</w:t>
            </w:r>
          </w:p>
        </w:tc>
        <w:tc>
          <w:tcPr>
            <w:tcW w:type="dxa" w:w="1701"/>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Date</w:t>
            </w:r>
          </w:p>
        </w:tc>
        <w:tc>
          <w:tcPr>
            <w:tcW w:type="dxa" w:w="2268"/>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Signature</w:t>
            </w:r>
          </w:p>
        </w:tc>
      </w:tr>
      <w:tr>
        <w:tc>
          <w:tcPr>
            <w:tcW w:type="dxa" w:w="2268"/>
            <w:tcBorders>
              <w:top w:val="single" w:sz="6" w:color="BFBFBF"/>
              <w:left w:val="single" w:sz="6" w:color="BFBFBF"/>
              <w:bottom w:val="single" w:sz="6" w:color="BFBFBF"/>
              <w:right w:val="single" w:sz="6" w:color="BFBFBF"/>
            </w:tcBorders>
          </w:tcPr>
          <w:p>
            <w:r/>
            <w:r>
              <w:rPr>
                <w:rFonts w:ascii="Arial" w:hAnsi="Arial"/>
                <w:sz w:val="20"/>
              </w:rPr>
              <w:t>Executive Sponsor</w:t>
            </w:r>
          </w:p>
        </w:tc>
        <w:tc>
          <w:tcPr>
            <w:tcW w:type="dxa" w:w="2835"/>
            <w:tcBorders>
              <w:top w:val="single" w:sz="6" w:color="BFBFBF"/>
              <w:left w:val="single" w:sz="6" w:color="BFBFBF"/>
              <w:bottom w:val="single" w:sz="6" w:color="BFBFBF"/>
              <w:right w:val="single" w:sz="6" w:color="BFBFBF"/>
            </w:tcBorders>
          </w:tcPr>
          <w:p>
            <w:r/>
            <w:r>
              <w:rPr>
                <w:rFonts w:ascii="Arial" w:hAnsi="Arial"/>
                <w:sz w:val="20"/>
              </w:rPr>
            </w:r>
          </w:p>
        </w:tc>
        <w:tc>
          <w:tcPr>
            <w:tcW w:type="dxa" w:w="1701"/>
            <w:tcBorders>
              <w:top w:val="single" w:sz="6" w:color="BFBFBF"/>
              <w:left w:val="single" w:sz="6" w:color="BFBFBF"/>
              <w:bottom w:val="single" w:sz="6" w:color="BFBFBF"/>
              <w:right w:val="single" w:sz="6" w:color="BFBFBF"/>
            </w:tcBorders>
          </w:tcPr>
          <w:p>
            <w:r/>
            <w:r>
              <w:rPr>
                <w:rFonts w:ascii="Arial" w:hAnsi="Arial"/>
                <w:sz w:val="20"/>
              </w:rPr>
            </w:r>
          </w:p>
        </w:tc>
        <w:tc>
          <w:tcPr>
            <w:tcW w:type="dxa" w:w="2268"/>
            <w:tcBorders>
              <w:top w:val="single" w:sz="6" w:color="BFBFBF"/>
              <w:left w:val="single" w:sz="6" w:color="BFBFBF"/>
              <w:bottom w:val="single" w:sz="6" w:color="BFBFBF"/>
              <w:right w:val="single" w:sz="6" w:color="BFBFBF"/>
            </w:tcBorders>
          </w:tcPr>
          <w:p>
            <w:r/>
            <w:r>
              <w:rPr>
                <w:rFonts w:ascii="Arial" w:hAnsi="Arial"/>
                <w:sz w:val="20"/>
              </w:rPr>
            </w:r>
          </w:p>
        </w:tc>
      </w:tr>
      <w:tr>
        <w:tc>
          <w:tcPr>
            <w:tcW w:type="dxa" w:w="2268"/>
            <w:tcBorders>
              <w:top w:val="single" w:sz="6" w:color="BFBFBF"/>
              <w:left w:val="single" w:sz="6" w:color="BFBFBF"/>
              <w:bottom w:val="single" w:sz="6" w:color="BFBFBF"/>
              <w:right w:val="single" w:sz="6" w:color="BFBFBF"/>
            </w:tcBorders>
          </w:tcPr>
          <w:p>
            <w:r/>
            <w:r>
              <w:rPr>
                <w:rFonts w:ascii="Arial" w:hAnsi="Arial"/>
                <w:sz w:val="20"/>
              </w:rPr>
              <w:t>Programme Manager</w:t>
            </w:r>
          </w:p>
        </w:tc>
        <w:tc>
          <w:tcPr>
            <w:tcW w:type="dxa" w:w="2835"/>
            <w:tcBorders>
              <w:top w:val="single" w:sz="6" w:color="BFBFBF"/>
              <w:left w:val="single" w:sz="6" w:color="BFBFBF"/>
              <w:bottom w:val="single" w:sz="6" w:color="BFBFBF"/>
              <w:right w:val="single" w:sz="6" w:color="BFBFBF"/>
            </w:tcBorders>
          </w:tcPr>
          <w:p>
            <w:r/>
            <w:r>
              <w:rPr>
                <w:rFonts w:ascii="Arial" w:hAnsi="Arial"/>
                <w:sz w:val="20"/>
              </w:rPr>
            </w:r>
          </w:p>
        </w:tc>
        <w:tc>
          <w:tcPr>
            <w:tcW w:type="dxa" w:w="1701"/>
            <w:tcBorders>
              <w:top w:val="single" w:sz="6" w:color="BFBFBF"/>
              <w:left w:val="single" w:sz="6" w:color="BFBFBF"/>
              <w:bottom w:val="single" w:sz="6" w:color="BFBFBF"/>
              <w:right w:val="single" w:sz="6" w:color="BFBFBF"/>
            </w:tcBorders>
          </w:tcPr>
          <w:p>
            <w:r/>
            <w:r>
              <w:rPr>
                <w:rFonts w:ascii="Arial" w:hAnsi="Arial"/>
                <w:sz w:val="20"/>
              </w:rPr>
            </w:r>
          </w:p>
        </w:tc>
        <w:tc>
          <w:tcPr>
            <w:tcW w:type="dxa" w:w="2268"/>
            <w:tcBorders>
              <w:top w:val="single" w:sz="6" w:color="BFBFBF"/>
              <w:left w:val="single" w:sz="6" w:color="BFBFBF"/>
              <w:bottom w:val="single" w:sz="6" w:color="BFBFBF"/>
              <w:right w:val="single" w:sz="6" w:color="BFBFBF"/>
            </w:tcBorders>
          </w:tcPr>
          <w:p>
            <w:r/>
            <w:r>
              <w:rPr>
                <w:rFonts w:ascii="Arial" w:hAnsi="Arial"/>
                <w:sz w:val="20"/>
              </w:rPr>
            </w:r>
          </w:p>
        </w:tc>
      </w:tr>
      <w:tr>
        <w:tc>
          <w:tcPr>
            <w:tcW w:type="dxa" w:w="2268"/>
            <w:tcBorders>
              <w:top w:val="single" w:sz="6" w:color="BFBFBF"/>
              <w:left w:val="single" w:sz="6" w:color="BFBFBF"/>
              <w:bottom w:val="single" w:sz="6" w:color="BFBFBF"/>
              <w:right w:val="single" w:sz="6" w:color="BFBFBF"/>
            </w:tcBorders>
          </w:tcPr>
          <w:p>
            <w:r/>
            <w:r>
              <w:rPr>
                <w:rFonts w:ascii="Arial" w:hAnsi="Arial"/>
                <w:sz w:val="20"/>
              </w:rPr>
              <w:t>CFO</w:t>
            </w:r>
          </w:p>
        </w:tc>
        <w:tc>
          <w:tcPr>
            <w:tcW w:type="dxa" w:w="2835"/>
            <w:tcBorders>
              <w:top w:val="single" w:sz="6" w:color="BFBFBF"/>
              <w:left w:val="single" w:sz="6" w:color="BFBFBF"/>
              <w:bottom w:val="single" w:sz="6" w:color="BFBFBF"/>
              <w:right w:val="single" w:sz="6" w:color="BFBFBF"/>
            </w:tcBorders>
          </w:tcPr>
          <w:p>
            <w:r/>
            <w:r>
              <w:rPr>
                <w:rFonts w:ascii="Arial" w:hAnsi="Arial"/>
                <w:sz w:val="20"/>
              </w:rPr>
            </w:r>
          </w:p>
        </w:tc>
        <w:tc>
          <w:tcPr>
            <w:tcW w:type="dxa" w:w="1701"/>
            <w:tcBorders>
              <w:top w:val="single" w:sz="6" w:color="BFBFBF"/>
              <w:left w:val="single" w:sz="6" w:color="BFBFBF"/>
              <w:bottom w:val="single" w:sz="6" w:color="BFBFBF"/>
              <w:right w:val="single" w:sz="6" w:color="BFBFBF"/>
            </w:tcBorders>
          </w:tcPr>
          <w:p>
            <w:r/>
            <w:r>
              <w:rPr>
                <w:rFonts w:ascii="Arial" w:hAnsi="Arial"/>
                <w:sz w:val="20"/>
              </w:rPr>
            </w:r>
          </w:p>
        </w:tc>
        <w:tc>
          <w:tcPr>
            <w:tcW w:type="dxa" w:w="2268"/>
            <w:tcBorders>
              <w:top w:val="single" w:sz="6" w:color="BFBFBF"/>
              <w:left w:val="single" w:sz="6" w:color="BFBFBF"/>
              <w:bottom w:val="single" w:sz="6" w:color="BFBFBF"/>
              <w:right w:val="single" w:sz="6" w:color="BFBFBF"/>
            </w:tcBorders>
          </w:tcPr>
          <w:p>
            <w:r/>
            <w:r>
              <w:rPr>
                <w:rFonts w:ascii="Arial" w:hAnsi="Arial"/>
                <w:sz w:val="20"/>
              </w:rPr>
            </w:r>
          </w:p>
        </w:tc>
      </w:tr>
      <w:tr>
        <w:tc>
          <w:tcPr>
            <w:tcW w:type="dxa" w:w="2268"/>
            <w:tcBorders>
              <w:top w:val="single" w:sz="6" w:color="BFBFBF"/>
              <w:left w:val="single" w:sz="6" w:color="BFBFBF"/>
              <w:bottom w:val="single" w:sz="6" w:color="BFBFBF"/>
              <w:right w:val="single" w:sz="6" w:color="BFBFBF"/>
            </w:tcBorders>
          </w:tcPr>
          <w:p>
            <w:r/>
            <w:r>
              <w:rPr>
                <w:rFonts w:ascii="Arial" w:hAnsi="Arial"/>
                <w:sz w:val="20"/>
              </w:rPr>
              <w:t>CIO</w:t>
            </w:r>
          </w:p>
        </w:tc>
        <w:tc>
          <w:tcPr>
            <w:tcW w:type="dxa" w:w="2835"/>
            <w:tcBorders>
              <w:top w:val="single" w:sz="6" w:color="BFBFBF"/>
              <w:left w:val="single" w:sz="6" w:color="BFBFBF"/>
              <w:bottom w:val="single" w:sz="6" w:color="BFBFBF"/>
              <w:right w:val="single" w:sz="6" w:color="BFBFBF"/>
            </w:tcBorders>
          </w:tcPr>
          <w:p>
            <w:r/>
            <w:r>
              <w:rPr>
                <w:rFonts w:ascii="Arial" w:hAnsi="Arial"/>
                <w:sz w:val="20"/>
              </w:rPr>
            </w:r>
          </w:p>
        </w:tc>
        <w:tc>
          <w:tcPr>
            <w:tcW w:type="dxa" w:w="1701"/>
            <w:tcBorders>
              <w:top w:val="single" w:sz="6" w:color="BFBFBF"/>
              <w:left w:val="single" w:sz="6" w:color="BFBFBF"/>
              <w:bottom w:val="single" w:sz="6" w:color="BFBFBF"/>
              <w:right w:val="single" w:sz="6" w:color="BFBFBF"/>
            </w:tcBorders>
          </w:tcPr>
          <w:p>
            <w:r/>
            <w:r>
              <w:rPr>
                <w:rFonts w:ascii="Arial" w:hAnsi="Arial"/>
                <w:sz w:val="20"/>
              </w:rPr>
            </w:r>
          </w:p>
        </w:tc>
        <w:tc>
          <w:tcPr>
            <w:tcW w:type="dxa" w:w="2268"/>
            <w:tcBorders>
              <w:top w:val="single" w:sz="6" w:color="BFBFBF"/>
              <w:left w:val="single" w:sz="6" w:color="BFBFBF"/>
              <w:bottom w:val="single" w:sz="6" w:color="BFBFBF"/>
              <w:right w:val="single" w:sz="6" w:color="BFBFBF"/>
            </w:tcBorders>
          </w:tcPr>
          <w:p>
            <w:r/>
            <w:r>
              <w:rPr>
                <w:rFonts w:ascii="Arial" w:hAnsi="Arial"/>
                <w:sz w:val="20"/>
              </w:rPr>
            </w:r>
          </w:p>
        </w:tc>
      </w:tr>
      <w:tr>
        <w:tc>
          <w:tcPr>
            <w:tcW w:type="dxa" w:w="2268"/>
            <w:tcBorders>
              <w:top w:val="single" w:sz="6" w:color="BFBFBF"/>
              <w:left w:val="single" w:sz="6" w:color="BFBFBF"/>
              <w:bottom w:val="single" w:sz="6" w:color="BFBFBF"/>
              <w:right w:val="single" w:sz="6" w:color="BFBFBF"/>
            </w:tcBorders>
          </w:tcPr>
          <w:p>
            <w:r/>
            <w:r>
              <w:rPr>
                <w:rFonts w:ascii="Arial" w:hAnsi="Arial"/>
                <w:sz w:val="20"/>
              </w:rPr>
              <w:t>Business Architect</w:t>
            </w:r>
          </w:p>
        </w:tc>
        <w:tc>
          <w:tcPr>
            <w:tcW w:type="dxa" w:w="2835"/>
            <w:tcBorders>
              <w:top w:val="single" w:sz="6" w:color="BFBFBF"/>
              <w:left w:val="single" w:sz="6" w:color="BFBFBF"/>
              <w:bottom w:val="single" w:sz="6" w:color="BFBFBF"/>
              <w:right w:val="single" w:sz="6" w:color="BFBFBF"/>
            </w:tcBorders>
          </w:tcPr>
          <w:p>
            <w:r/>
            <w:r>
              <w:rPr>
                <w:rFonts w:ascii="Arial" w:hAnsi="Arial"/>
                <w:sz w:val="20"/>
              </w:rPr>
            </w:r>
          </w:p>
        </w:tc>
        <w:tc>
          <w:tcPr>
            <w:tcW w:type="dxa" w:w="1701"/>
            <w:tcBorders>
              <w:top w:val="single" w:sz="6" w:color="BFBFBF"/>
              <w:left w:val="single" w:sz="6" w:color="BFBFBF"/>
              <w:bottom w:val="single" w:sz="6" w:color="BFBFBF"/>
              <w:right w:val="single" w:sz="6" w:color="BFBFBF"/>
            </w:tcBorders>
          </w:tcPr>
          <w:p>
            <w:r/>
            <w:r>
              <w:rPr>
                <w:rFonts w:ascii="Arial" w:hAnsi="Arial"/>
                <w:sz w:val="20"/>
              </w:rPr>
            </w:r>
          </w:p>
        </w:tc>
        <w:tc>
          <w:tcPr>
            <w:tcW w:type="dxa" w:w="2268"/>
            <w:tcBorders>
              <w:top w:val="single" w:sz="6" w:color="BFBFBF"/>
              <w:left w:val="single" w:sz="6" w:color="BFBFBF"/>
              <w:bottom w:val="single" w:sz="6" w:color="BFBFBF"/>
              <w:right w:val="single" w:sz="6" w:color="BFBFBF"/>
            </w:tcBorders>
          </w:tcPr>
          <w:p>
            <w:r/>
            <w:r>
              <w:rPr>
                <w:rFonts w:ascii="Arial" w:hAnsi="Arial"/>
                <w:sz w:val="20"/>
              </w:rPr>
            </w:r>
          </w:p>
        </w:tc>
      </w:tr>
    </w:tbl>
    <w:p/>
    <w:sectPr w:rsidR="00FC693F" w:rsidRPr="0006063C" w:rsidSect="00034616">
      <w:headerReference w:type="default" r:id="rId9"/>
      <w:headerReference w:type="first" r:id="rId10"/>
      <w:headerReference w:type="even" r:id="rId11"/>
      <w:footerReference w:type="default" r:id="rId12"/>
      <w:footerReference w:type="first" r:id="rId13"/>
      <w:footerReference w:type="even" r:id="rId1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20"/>
      <w:outlineLvl w:val="0"/>
    </w:pPr>
    <w:rPr>
      <w:rFonts w:asciiTheme="majorHAnsi" w:eastAsiaTheme="majorEastAsia" w:hAnsiTheme="majorHAnsi" w:cstheme="majorBidi" w:ascii="Arial" w:hAnsi="Arial"/>
      <w:b/>
      <w:bCs/>
      <w:color w:val="1E2761"/>
      <w:sz w:val="36"/>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Arial" w:hAnsi="Arial"/>
      <w:b/>
      <w:bCs/>
      <w:color w:val="1E2761"/>
      <w:sz w:val="28"/>
      <w:szCs w:val="26"/>
    </w:rPr>
  </w:style>
  <w:style w:type="paragraph" w:styleId="Heading3">
    <w:name w:val="heading 3"/>
    <w:basedOn w:val="Normal"/>
    <w:next w:val="Normal"/>
    <w:link w:val="Heading3Char"/>
    <w:uiPriority w:val="9"/>
    <w:unhideWhenUsed/>
    <w:qFormat/>
    <w:rsid w:val="00FC693F"/>
    <w:pPr>
      <w:keepNext/>
      <w:keepLines/>
      <w:spacing w:before="280" w:after="120"/>
      <w:outlineLvl w:val="2"/>
    </w:pPr>
    <w:rPr>
      <w:rFonts w:asciiTheme="majorHAnsi" w:eastAsiaTheme="majorEastAsia" w:hAnsiTheme="majorHAnsi" w:cstheme="majorBidi" w:ascii="Arial" w:hAnsi="Arial"/>
      <w:b/>
      <w:bCs/>
      <w:color w:val="1E2761"/>
      <w:sz w:val="24"/>
    </w:rPr>
  </w:style>
  <w:style w:type="paragraph" w:styleId="Heading4">
    <w:name w:val="heading 4"/>
    <w:basedOn w:val="Normal"/>
    <w:next w:val="Normal"/>
    <w:link w:val="Heading4Char"/>
    <w:uiPriority w:val="9"/>
    <w:semiHidden/>
    <w:unhideWhenUsed/>
    <w:qFormat/>
    <w:rsid w:val="00FC693F"/>
    <w:pPr>
      <w:keepNext/>
      <w:keepLines/>
      <w:spacing w:before="280" w:after="120"/>
      <w:outlineLvl w:val="3"/>
    </w:pPr>
    <w:rPr>
      <w:rFonts w:asciiTheme="majorHAnsi" w:eastAsiaTheme="majorEastAsia" w:hAnsiTheme="majorHAnsi" w:cstheme="majorBidi" w:ascii="Arial" w:hAnsi="Arial"/>
      <w:b/>
      <w:bCs/>
      <w:i/>
      <w:iCs/>
      <w:color w:val="1E2761"/>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E2761"/>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