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RFI Template — Request for Information</w:t>
      </w:r>
    </w:p>
    <w:p>
      <w:r>
        <w:t>Stage 7 — Market Engagement &amp; RFI · Long-list filter for ERP / CRM SI selection</w:t>
      </w:r>
    </w:p>
    <w:tbl>
      <w:tblPr>
        <w:tblStyle w:val="LightGrid-Accent1"/>
        <w:tblW w:type="auto" w:w="0"/>
        <w:tblLook w:firstColumn="1" w:firstRow="1" w:lastColumn="0" w:lastRow="0" w:noHBand="0" w:noVBand="1" w:val="04A0"/>
      </w:tblPr>
      <w:tblGrid>
        <w:gridCol w:w="4320"/>
        <w:gridCol w:w="4320"/>
      </w:tblGrid>
      <w:tr>
        <w:tc>
          <w:tcPr>
            <w:tcW w:type="dxa" w:w="4320"/>
          </w:tcPr>
          <w:p>
            <w:r>
              <w:rPr>
                <w:b/>
              </w:rPr>
              <w:t>Document</w:t>
            </w:r>
          </w:p>
        </w:tc>
        <w:tc>
          <w:tcPr>
            <w:tcW w:type="dxa" w:w="4320"/>
          </w:tcPr>
          <w:p>
            <w:r>
              <w:t>RFI Template</w:t>
            </w:r>
          </w:p>
        </w:tc>
      </w:tr>
      <w:tr>
        <w:tc>
          <w:tcPr>
            <w:tcW w:type="dxa" w:w="4320"/>
          </w:tcPr>
          <w:p>
            <w:r>
              <w:rPr>
                <w:b/>
              </w:rPr>
              <w:t>Version</w:t>
            </w:r>
          </w:p>
        </w:tc>
        <w:tc>
          <w:tcPr>
            <w:tcW w:type="dxa" w:w="4320"/>
          </w:tcPr>
          <w:p>
            <w:r>
              <w:t>v1.0 (TEMPLATE) — 19 May 2026</w:t>
            </w:r>
          </w:p>
        </w:tc>
      </w:tr>
      <w:tr>
        <w:tc>
          <w:tcPr>
            <w:tcW w:type="dxa" w:w="4320"/>
          </w:tcPr>
          <w:p>
            <w:r>
              <w:rPr>
                <w:b/>
              </w:rPr>
              <w:t>Owner</w:t>
            </w:r>
          </w:p>
        </w:tc>
        <w:tc>
          <w:tcPr>
            <w:tcW w:type="dxa" w:w="4320"/>
          </w:tcPr>
          <w:p>
            <w:r>
              <w:t>Procurement Lead</w:t>
            </w:r>
          </w:p>
        </w:tc>
      </w:tr>
      <w:tr>
        <w:tc>
          <w:tcPr>
            <w:tcW w:type="dxa" w:w="4320"/>
          </w:tcPr>
          <w:p>
            <w:r>
              <w:rPr>
                <w:b/>
              </w:rPr>
              <w:t>Stage</w:t>
            </w:r>
          </w:p>
        </w:tc>
        <w:tc>
          <w:tcPr>
            <w:tcW w:type="dxa" w:w="4320"/>
          </w:tcPr>
          <w:p>
            <w:r>
              <w:t>Stage 7 — Market Engagement &amp; RFI</w:t>
            </w:r>
          </w:p>
        </w:tc>
      </w:tr>
      <w:tr>
        <w:tc>
          <w:tcPr>
            <w:tcW w:type="dxa" w:w="4320"/>
          </w:tcPr>
          <w:p>
            <w:r>
              <w:rPr>
                <w:b/>
              </w:rPr>
              <w:t>Classification</w:t>
            </w:r>
          </w:p>
        </w:tc>
        <w:tc>
          <w:tcPr>
            <w:tcW w:type="dxa" w:w="4320"/>
          </w:tcPr>
          <w:p>
            <w:r>
              <w:t>Programme Use</w:t>
            </w:r>
          </w:p>
        </w:tc>
      </w:tr>
    </w:tbl>
    <w:p/>
    <w:p>
      <w:pPr>
        <w:pStyle w:val="Heading1"/>
      </w:pPr>
      <w:r>
        <w:t>Purpose of the RFI</w:t>
      </w:r>
    </w:p>
    <w:p>
      <w:r>
        <w:t>The RFI is the long-list filter. It tests whether a vendor has the capability, experience and financial standing to deliver a programme of this scale. It does not commit to price; it does not commit to a solution. The output is a shortlist of 3–5 SIs who go through to RFP.</w:t>
      </w:r>
    </w:p>
    <w:p>
      <w:r>
        <w:t>The RFI is owned by Procurement, written with Programme Manager input, and issued at Stage 7 (Market Engagement &amp; RFI). Responses are scored against a published rubric. The shortlist is confirmed at the Shortlist Checkpoint at end of S7.</w:t>
      </w:r>
    </w:p>
    <w:p>
      <w:pPr>
        <w:pStyle w:val="Heading1"/>
      </w:pPr>
      <w:r>
        <w:t>Worked example — AcmeWidget Ltd (mid-market D365 F&amp;O programme)</w:t>
      </w:r>
    </w:p>
    <w:p>
      <w:r>
        <w:t>AcmeWidget is a £58m-revenue manufacturing business with operations in three European countries. It has selected Microsoft D365 F&amp;O as its preferred platform. It is issuing an RFI to 12 D365 Gold Partners on the UK Microsoft Partner directory. The programme is estimated at Medium scale (~4,500 effort days), 16-month delivery, single-pillar, ERP only, single-wave.</w:t>
      </w:r>
    </w:p>
    <w:p>
      <w:pPr>
        <w:pStyle w:val="Heading2"/>
      </w:pPr>
      <w:r>
        <w:t>Section 1 — Company overview</w:t>
      </w:r>
    </w:p>
    <w:p>
      <w:r>
        <w:rPr>
          <w:b/>
        </w:rPr>
        <w:t xml:space="preserve">RFI question to the SI: </w:t>
      </w:r>
      <w:r>
        <w:t>Provide a company overview — UK presence, headcount, ownership structure, parent (if any), years trading in the D365 ecosystem.</w:t>
      </w:r>
    </w:p>
    <w:p>
      <w:r>
        <w:rPr>
          <w:i/>
        </w:rPr>
        <w:t xml:space="preserve">AcmeWidget-completed example answer: </w:t>
      </w:r>
      <w:r>
        <w:rPr>
          <w:i/>
        </w:rPr>
        <w:t>[SI Name] — UK Ltd company, 280 staff in the UK D365 practice, owned by [parent], trading in D365 ecosystem since 2008. Microsoft Gold Partner across F&amp;O, CE, Power Platform.</w:t>
      </w:r>
    </w:p>
    <w:p>
      <w:pPr>
        <w:pStyle w:val="Heading2"/>
      </w:pPr>
      <w:r>
        <w:t>Section 2 — Platform experience</w:t>
      </w:r>
    </w:p>
    <w:p>
      <w:r>
        <w:rPr>
          <w:b/>
        </w:rPr>
        <w:t xml:space="preserve">RFI question to the SI: </w:t>
      </w:r>
      <w:r>
        <w:t>How many D365 F&amp;O implementations has the SI led in the past five years? Of those, how many were comparable to AcmeWidget in scale (Medium, ~4,500 days, multi-country)?</w:t>
      </w:r>
    </w:p>
    <w:p>
      <w:r>
        <w:rPr>
          <w:i/>
        </w:rPr>
        <w:t xml:space="preserve">AcmeWidget-completed example answer: </w:t>
      </w:r>
      <w:r>
        <w:rPr>
          <w:i/>
        </w:rPr>
        <w:t>47 F&amp;O implementations led in the past five years. 14 at peer scale (defined as £40m–£100m revenue, 3–6 country footprint, 12–18 month delivery). References available for six of these on request.</w:t>
      </w:r>
    </w:p>
    <w:p>
      <w:pPr>
        <w:pStyle w:val="Heading2"/>
      </w:pPr>
      <w:r>
        <w:t>Section 3 — Financial standing</w:t>
      </w:r>
    </w:p>
    <w:p>
      <w:r>
        <w:rPr>
          <w:b/>
        </w:rPr>
        <w:t xml:space="preserve">RFI question to the SI: </w:t>
      </w:r>
      <w:r>
        <w:t>Provide three years of audited accounts (or equivalent), current insurance certificates (Professional Indemnity, Employer's Liability, Public Liability), and credit rating where available.</w:t>
      </w:r>
    </w:p>
    <w:p>
      <w:r>
        <w:rPr>
          <w:i/>
        </w:rPr>
        <w:t xml:space="preserve">AcmeWidget-completed example answer: </w:t>
      </w:r>
      <w:r>
        <w:rPr>
          <w:i/>
        </w:rPr>
        <w:t>Accounts attached for FY2023, FY2024, FY2025. Turnover £88m FY2025, profit before tax £6.2m. PI £10m, EL £10m, PL £10m. Dun &amp; Bradstreet rating 5A1.</w:t>
      </w:r>
    </w:p>
    <w:p>
      <w:pPr>
        <w:pStyle w:val="Heading2"/>
      </w:pPr>
      <w:r>
        <w:t>Section 4 — Reference clients</w:t>
      </w:r>
    </w:p>
    <w:p>
      <w:r>
        <w:rPr>
          <w:b/>
        </w:rPr>
        <w:t xml:space="preserve">RFI question to the SI: </w:t>
      </w:r>
      <w:r>
        <w:t>Provide three reference clients at peer scale who have gone live on the SI's D365 F&amp;O implementation. For each, name the client, scale, platform footprint, delivery duration, and current status (live, in hypercare, in stabilisation).</w:t>
      </w:r>
    </w:p>
    <w:p>
      <w:r>
        <w:rPr>
          <w:i/>
        </w:rPr>
        <w:t xml:space="preserve">AcmeWidget-completed example answer: </w:t>
      </w:r>
      <w:r>
        <w:rPr>
          <w:i/>
        </w:rPr>
        <w:t>[Client A] — £62m revenue mid-market distributor, D365 F&amp;O + supply chain, 14-month delivery, live since Mar 2025. [Client B] — £75m revenue manufacturer, D365 F&amp;O + project ops, 16-month delivery, in hypercare since Jan 2026. [Client C] — £45m revenue not-for-profit, D365 F&amp;O + finance, 12-month delivery, live since Nov 2024.</w:t>
      </w:r>
    </w:p>
    <w:p>
      <w:pPr>
        <w:pStyle w:val="Heading2"/>
      </w:pPr>
      <w:r>
        <w:t>Section 5 — Methodology overview</w:t>
      </w:r>
    </w:p>
    <w:p>
      <w:r>
        <w:rPr>
          <w:b/>
        </w:rPr>
        <w:t xml:space="preserve">RFI question to the SI: </w:t>
      </w:r>
      <w:r>
        <w:t>Provide a one-page overview of the SI's delivery methodology. Name the phases, the gates, the test levels, and the role catalogue. The Client team should be able to read it without translation.</w:t>
      </w:r>
    </w:p>
    <w:p>
      <w:r>
        <w:rPr>
          <w:i/>
        </w:rPr>
        <w:t xml:space="preserve">AcmeWidget-completed example answer: </w:t>
      </w:r>
      <w:r>
        <w:rPr>
          <w:i/>
        </w:rPr>
        <w:t>[SI Name] uses a six-phase methodology: Discover, Design, Build, Test, Deploy, Sustain. Four formal gates: Design Sign-Off, UAT Exit, Go-Live, Hypercare Exit. Five test levels: Unit, FAT, SIT, UAT, NFT. Role catalogue includes Programme Director, Solution Architect, Functional Leads, Test Lead, Cutover Lead. One-page overview attached.</w:t>
      </w:r>
    </w:p>
    <w:p>
      <w:pPr>
        <w:pStyle w:val="Heading2"/>
      </w:pPr>
      <w:r>
        <w:t>Section 6 — Team structure</w:t>
      </w:r>
    </w:p>
    <w:p>
      <w:r>
        <w:rPr>
          <w:b/>
        </w:rPr>
        <w:t xml:space="preserve">RFI question to the SI: </w:t>
      </w:r>
      <w:r>
        <w:t>Describe the typical team shape for a peer-scale engagement. How many SI staff would be on-site or near-shored? How many functional consultants per workstream? Who would be the Programme Director, and how much of their time would be on this programme?</w:t>
      </w:r>
    </w:p>
    <w:p>
      <w:r>
        <w:rPr>
          <w:i/>
        </w:rPr>
        <w:t xml:space="preserve">AcmeWidget-completed example answer: </w:t>
      </w:r>
      <w:r>
        <w:rPr>
          <w:i/>
        </w:rPr>
        <w:t>Typical team: SI Programme Director (50% time on programmes of this scale), SI Solution Architect (full-time S9–S17), 4 Functional Leads (one per workstream — Finance, Supply Chain, Manufacturing, Sales), 8–12 Functional Consultants across workstreams, SI Test Lead, Cutover Lead, Data Migration Lead. UK-based; near-shore option for 30–40% of build effort.</w:t>
      </w:r>
    </w:p>
    <w:p>
      <w:pPr>
        <w:pStyle w:val="Heading2"/>
      </w:pPr>
      <w:r>
        <w:t>Section 7 — Indicative pricing approach</w:t>
      </w:r>
    </w:p>
    <w:p>
      <w:r>
        <w:rPr>
          <w:b/>
        </w:rPr>
        <w:t xml:space="preserve">RFI question to the SI: </w:t>
      </w:r>
      <w:r>
        <w:t>Without committing to a price, describe the SI's pricing approach. Time and materials? Fixed scope/fixed price for discrete SOWs? Capped time and materials? What is the SI's typical day-rate range for the named roles?</w:t>
      </w:r>
    </w:p>
    <w:p>
      <w:r>
        <w:rPr>
          <w:i/>
        </w:rPr>
        <w:t xml:space="preserve">AcmeWidget-completed example answer: </w:t>
      </w:r>
      <w:r>
        <w:rPr>
          <w:i/>
        </w:rPr>
        <w:t>[SI Name] uses fixed-scope/fixed-price for SOW 1 (Discovery), capped time-and-materials for SOW 2 (Design), and capped time-and-materials with milestone payments for SOW 3 (Build/Test/Deploy/Hypercare). Indicative day-rates: Programme Director £1,100, Solution Architect £1,100, Functional Lead £800, Functional Consultant £650. All UK Outside IR35; near-shore rates available on request.</w:t>
      </w:r>
    </w:p>
    <w:p>
      <w:r>
        <w:br w:type="page"/>
      </w:r>
    </w:p>
    <w:p>
      <w:pPr>
        <w:pStyle w:val="Heading1"/>
      </w:pPr>
      <w:r>
        <w:t>Your programme — RFI Template (blank)</w:t>
      </w:r>
    </w:p>
    <w:p>
      <w:r>
        <w:t>Use this section as the RFI you issue. Each section has a guidance note in italics, then space for the SI to respond. Issue with a covering letter that includes deadline (typically 3 weeks from issue), submission format, and scoring rubric.</w:t>
      </w:r>
    </w:p>
    <w:p>
      <w:pPr>
        <w:pStyle w:val="Heading2"/>
      </w:pPr>
      <w:r>
        <w:t>Section 1 — Company overview</w:t>
      </w:r>
    </w:p>
    <w:p>
      <w:r>
        <w:rPr>
          <w:b/>
        </w:rPr>
        <w:t xml:space="preserve">Guidance: </w:t>
      </w:r>
      <w:r>
        <w:rPr>
          <w:i/>
        </w:rPr>
        <w:t>Provide a company overview — UK presence, headcount, ownership structure, parent (if any), years trading in the platform ecosystem. Guidance: aim for 1 page.</w:t>
      </w:r>
    </w:p>
    <w:p>
      <w:r>
        <w:t>[SI response]</w:t>
      </w:r>
    </w:p>
    <w:p>
      <w:pPr>
        <w:pStyle w:val="Heading2"/>
      </w:pPr>
      <w:r>
        <w:t>Section 2 — Platform experience</w:t>
      </w:r>
    </w:p>
    <w:p>
      <w:r>
        <w:rPr>
          <w:b/>
        </w:rPr>
        <w:t xml:space="preserve">Guidance: </w:t>
      </w:r>
      <w:r>
        <w:rPr>
          <w:i/>
        </w:rPr>
        <w:t>How many implementations on the chosen platform has the SI led in the past five years? Of those, how many were comparable in scale to this programme? Guidance: provide named programmes with scale, duration and current status.</w:t>
      </w:r>
    </w:p>
    <w:p>
      <w:r>
        <w:t>[SI response]</w:t>
      </w:r>
    </w:p>
    <w:p>
      <w:pPr>
        <w:pStyle w:val="Heading2"/>
      </w:pPr>
      <w:r>
        <w:t>Section 3 — Financial standing</w:t>
      </w:r>
    </w:p>
    <w:p>
      <w:r>
        <w:rPr>
          <w:b/>
        </w:rPr>
        <w:t xml:space="preserve">Guidance: </w:t>
      </w:r>
      <w:r>
        <w:rPr>
          <w:i/>
        </w:rPr>
        <w:t>Provide three years of audited accounts (or equivalent), current insurance certificates (PI, EL, PL), and credit rating where available. Guidance: Procurement evaluates this against the published rubric.</w:t>
      </w:r>
    </w:p>
    <w:p>
      <w:r>
        <w:t>[SI response]</w:t>
      </w:r>
    </w:p>
    <w:p>
      <w:pPr>
        <w:pStyle w:val="Heading2"/>
      </w:pPr>
      <w:r>
        <w:t>Section 4 — Reference clients</w:t>
      </w:r>
    </w:p>
    <w:p>
      <w:r>
        <w:rPr>
          <w:b/>
        </w:rPr>
        <w:t xml:space="preserve">Guidance: </w:t>
      </w:r>
      <w:r>
        <w:rPr>
          <w:i/>
        </w:rPr>
        <w:t>Provide three reference clients at peer scale who have gone live on the SI's implementation. For each: name, scale, platform footprint, delivery duration, current status. Guidance: peer scale matters — small-mid references for a large programme are not comparable.</w:t>
      </w:r>
    </w:p>
    <w:p>
      <w:r>
        <w:t>[SI response]</w:t>
      </w:r>
    </w:p>
    <w:p>
      <w:pPr>
        <w:pStyle w:val="Heading2"/>
      </w:pPr>
      <w:r>
        <w:t>Section 5 — Methodology overview</w:t>
      </w:r>
    </w:p>
    <w:p>
      <w:r>
        <w:rPr>
          <w:b/>
        </w:rPr>
        <w:t xml:space="preserve">Guidance: </w:t>
      </w:r>
      <w:r>
        <w:rPr>
          <w:i/>
        </w:rPr>
        <w:t>Provide a one-page overview of the SI's delivery methodology. Name the phases, gates, test levels, role catalogue. Guidance: Client team should be able to read it without translation. If they can't, that's a red flag.</w:t>
      </w:r>
    </w:p>
    <w:p>
      <w:r>
        <w:t>[SI response]</w:t>
      </w:r>
    </w:p>
    <w:p>
      <w:pPr>
        <w:pStyle w:val="Heading2"/>
      </w:pPr>
      <w:r>
        <w:t>Section 6 — Team structure</w:t>
      </w:r>
    </w:p>
    <w:p>
      <w:r>
        <w:rPr>
          <w:b/>
        </w:rPr>
        <w:t xml:space="preserve">Guidance: </w:t>
      </w:r>
      <w:r>
        <w:rPr>
          <w:i/>
        </w:rPr>
        <w:t>Describe the typical team shape for a peer-scale engagement. Headcount, on-site/near-shore split, Programme Director time allocation. Guidance: ask explicitly whether the people named are the ones who would deliver.</w:t>
      </w:r>
    </w:p>
    <w:p>
      <w:r>
        <w:t>[SI response]</w:t>
      </w:r>
    </w:p>
    <w:p>
      <w:pPr>
        <w:pStyle w:val="Heading2"/>
      </w:pPr>
      <w:r>
        <w:t>Section 7 — Indicative pricing approach</w:t>
      </w:r>
    </w:p>
    <w:p>
      <w:r>
        <w:rPr>
          <w:b/>
        </w:rPr>
        <w:t xml:space="preserve">Guidance: </w:t>
      </w:r>
      <w:r>
        <w:rPr>
          <w:i/>
        </w:rPr>
        <w:t>Without committing to a price, describe the SI's pricing approach and typical day-rate range for the named roles. Guidance: indicative is fine; this is RFI not RFP. Day-rate range is the comparator.</w:t>
      </w:r>
    </w:p>
    <w:p>
      <w:r>
        <w:t>[SI response]</w:t>
      </w:r>
    </w:p>
    <w:p>
      <w:r>
        <w:br w:type="page"/>
      </w:r>
    </w:p>
    <w:p>
      <w:pPr>
        <w:pStyle w:val="Heading1"/>
      </w:pPr>
      <w:r>
        <w:t>Scoring and shortlist</w:t>
      </w:r>
    </w:p>
    <w:p>
      <w:r>
        <w:t>Each section is scored by the evaluation panel using the Selection Scoring Matrix (S8–S9). The shortlist is confirmed at the Shortlist Checkpoint at end of S7. Typically 3–5 SIs proceed to RFP.</w:t>
      </w:r>
    </w:p>
    <w:p>
      <w:r>
        <w:t>Companion artefacts: Selection Scoring Matrix (S8–S9).xlsx · RFP Template (S8–S9).docx · Reference Call Questions (S8–S9).docx · SI Selection &amp; Method Alignment.pptx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