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1E2761"/>
          <w:sz w:val="64"/>
        </w:rPr>
        <w:t>Request for Information (RFI)</w:t>
      </w:r>
    </w:p>
    <w:p>
      <w:r>
        <w:rPr>
          <w:rFonts w:ascii="Arial" w:hAnsi="Arial"/>
          <w:i/>
          <w:color w:val="595959"/>
          <w:sz w:val="28"/>
        </w:rPr>
        <w:t>Market Engagement &amp; RFI (S7) — Market Engagement. Issued to long-list vendors prior to Software Selection (S8) software selection.</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Request for Information (RFI)</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 (TEMPLATE)</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Manager</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Introduction</w:t>
      </w:r>
    </w:p>
    <w:p>
      <w:r>
        <w:rPr>
          <w:rFonts w:ascii="Arial" w:hAnsi="Arial"/>
          <w:b w:val="0"/>
          <w:i w:val="0"/>
          <w:sz w:val="22"/>
        </w:rPr>
        <w:t>[Company Name] is undertaking an ERP modernisation programme and is engaging the market to identify shortlisted vendors for the S8 software selection. This Request for Information is informational and does not represent a commitment to procure.</w:t>
      </w:r>
    </w:p>
    <w:p>
      <w:r>
        <w:rPr>
          <w:rFonts w:ascii="Arial" w:hAnsi="Arial"/>
          <w:b w:val="0"/>
          <w:i w:val="0"/>
          <w:sz w:val="22"/>
        </w:rPr>
        <w:t>Responses are due by [DATE]. Late responses will not be considered. Questions on this RFI should be directed to [single point of contact] by [DATE-7].</w:t>
      </w:r>
    </w:p>
    <w:p>
      <w:pPr>
        <w:pStyle w:val="Heading1"/>
      </w:pPr>
      <w:r>
        <w:t>2. About [Company]</w:t>
      </w:r>
    </w:p>
    <w:p>
      <w:r>
        <w:rPr>
          <w:rFonts w:ascii="Arial" w:hAnsi="Arial"/>
          <w:b w:val="0"/>
          <w:i w:val="0"/>
          <w:sz w:val="22"/>
        </w:rPr>
        <w:t>[Insert 1–2 paragraphs: revenue, employees, geography, sectors, current ERP estate, current pain points, strategic direction.]</w:t>
      </w:r>
    </w:p>
    <w:p>
      <w:pPr>
        <w:pStyle w:val="Heading1"/>
      </w:pPr>
      <w:r>
        <w:t>3. Programme context</w:t>
      </w:r>
    </w:p>
    <w:p>
      <w:r>
        <w:rPr>
          <w:rFonts w:ascii="Arial" w:hAnsi="Arial"/>
          <w:b w:val="0"/>
          <w:i w:val="0"/>
          <w:sz w:val="22"/>
        </w:rPr>
        <w:t>The programme follows a structured ERP delivery method covering six governance phases and twenty stages over 18–24 months. Stage 7 (this RFI) sits in the Selection phase and is followed by Stage 8 (Software Selection, 6–8 weeks) and Stage 9 (SI Selection, 4–6 weeks).</w:t>
      </w:r>
    </w:p>
    <w:p>
      <w:r>
        <w:rPr>
          <w:rFonts w:ascii="Arial" w:hAnsi="Arial"/>
          <w:b w:val="0"/>
          <w:i w:val="0"/>
          <w:sz w:val="22"/>
        </w:rPr>
        <w:t>The Funding Envelope was approved at Funding Envelope &amp; Benchmark Costs (S6) with ±30–40% variance. This will be refined with vendor and SI ROM pricing through Stages 7–9, and confirmed in the Full Business Case at Solution Design &amp; Full Business Case (S12).</w:t>
      </w:r>
    </w:p>
    <w:p>
      <w:pPr>
        <w:pStyle w:val="Heading1"/>
      </w:pPr>
      <w:r>
        <w:t>4. Scope of interest</w:t>
      </w:r>
    </w:p>
    <w:p>
      <w:pPr>
        <w:pStyle w:val="ListBullet"/>
      </w:pPr>
      <w:r>
        <w:rPr>
          <w:rFonts w:ascii="Arial" w:hAnsi="Arial"/>
          <w:sz w:val="22"/>
        </w:rPr>
        <w:t>Core Finance — General Ledger, AP, AR, Fixed Assets, Intercompany, Tax</w:t>
      </w:r>
    </w:p>
    <w:p>
      <w:pPr>
        <w:pStyle w:val="ListBullet"/>
      </w:pPr>
      <w:r>
        <w:rPr>
          <w:rFonts w:ascii="Arial" w:hAnsi="Arial"/>
          <w:sz w:val="22"/>
        </w:rPr>
        <w:t>Procure-to-Pay — requisitions, POs, GR, invoice processing, payments</w:t>
      </w:r>
    </w:p>
    <w:p>
      <w:pPr>
        <w:pStyle w:val="ListBullet"/>
      </w:pPr>
      <w:r>
        <w:rPr>
          <w:rFonts w:ascii="Arial" w:hAnsi="Arial"/>
          <w:sz w:val="22"/>
        </w:rPr>
        <w:t>Order-to-Cash — sales orders, ATP, fulfilment, invoicing, collections</w:t>
      </w:r>
    </w:p>
    <w:p>
      <w:pPr>
        <w:pStyle w:val="ListBullet"/>
      </w:pPr>
      <w:r>
        <w:rPr>
          <w:rFonts w:ascii="Arial" w:hAnsi="Arial"/>
          <w:sz w:val="22"/>
        </w:rPr>
        <w:t>Inventory &amp; supply planning — MRP, replenishment, WMS</w:t>
      </w:r>
    </w:p>
    <w:p>
      <w:pPr>
        <w:pStyle w:val="ListBullet"/>
      </w:pPr>
      <w:r>
        <w:rPr>
          <w:rFonts w:ascii="Arial" w:hAnsi="Arial"/>
          <w:sz w:val="22"/>
        </w:rPr>
        <w:t>Reporting &amp; analytics — embedded BI, group consolidation</w:t>
      </w:r>
    </w:p>
    <w:p>
      <w:pPr>
        <w:pStyle w:val="ListBullet"/>
      </w:pPr>
      <w:r>
        <w:rPr>
          <w:rFonts w:ascii="Arial" w:hAnsi="Arial"/>
          <w:sz w:val="22"/>
        </w:rPr>
        <w:t>Integration platform — open APIs, support for [N] in-scope integrations</w:t>
      </w:r>
    </w:p>
    <w:p>
      <w:pPr>
        <w:pStyle w:val="Heading1"/>
      </w:pPr>
      <w:r>
        <w:t>5. Information requested</w:t>
      </w:r>
    </w:p>
    <w:p>
      <w:pPr>
        <w:pStyle w:val="Heading2"/>
      </w:pPr>
      <w:r>
        <w:t>5.1 Vendor profile</w:t>
      </w:r>
    </w:p>
    <w:p>
      <w:pPr>
        <w:pStyle w:val="ListBullet"/>
      </w:pPr>
      <w:r>
        <w:rPr>
          <w:rFonts w:ascii="Arial" w:hAnsi="Arial"/>
          <w:sz w:val="22"/>
        </w:rPr>
        <w:t>Company overview (revenue, employees, ownership)</w:t>
      </w:r>
    </w:p>
    <w:p>
      <w:pPr>
        <w:pStyle w:val="ListBullet"/>
      </w:pPr>
      <w:r>
        <w:rPr>
          <w:rFonts w:ascii="Arial" w:hAnsi="Arial"/>
          <w:sz w:val="22"/>
        </w:rPr>
        <w:t>Customer base (total customers; customers in [our sector]; customers in [our region])</w:t>
      </w:r>
    </w:p>
    <w:p>
      <w:pPr>
        <w:pStyle w:val="ListBullet"/>
      </w:pPr>
      <w:r>
        <w:rPr>
          <w:rFonts w:ascii="Arial" w:hAnsi="Arial"/>
          <w:sz w:val="22"/>
        </w:rPr>
        <w:t>Financial stability — last 3 years of audited results</w:t>
      </w:r>
    </w:p>
    <w:p>
      <w:pPr>
        <w:pStyle w:val="ListBullet"/>
      </w:pPr>
      <w:r>
        <w:rPr>
          <w:rFonts w:ascii="Arial" w:hAnsi="Arial"/>
          <w:sz w:val="22"/>
        </w:rPr>
        <w:t>R&amp;D investment as % of revenue, last 3 years</w:t>
      </w:r>
    </w:p>
    <w:p>
      <w:pPr>
        <w:pStyle w:val="ListBullet"/>
      </w:pPr>
      <w:r>
        <w:rPr>
          <w:rFonts w:ascii="Arial" w:hAnsi="Arial"/>
          <w:sz w:val="22"/>
        </w:rPr>
        <w:t>Roadmap horizon (2 and 5 years)</w:t>
      </w:r>
    </w:p>
    <w:p>
      <w:pPr>
        <w:pStyle w:val="Heading2"/>
      </w:pPr>
      <w:r>
        <w:t>5.2 Product capability</w:t>
      </w:r>
    </w:p>
    <w:p>
      <w:pPr>
        <w:pStyle w:val="ListBullet"/>
      </w:pPr>
      <w:r>
        <w:rPr>
          <w:rFonts w:ascii="Arial" w:hAnsi="Arial"/>
          <w:sz w:val="22"/>
        </w:rPr>
        <w:t>Architectural overview (cloud, multi-tenant SaaS, deployment options)</w:t>
      </w:r>
    </w:p>
    <w:p>
      <w:pPr>
        <w:pStyle w:val="ListBullet"/>
      </w:pPr>
      <w:r>
        <w:rPr>
          <w:rFonts w:ascii="Arial" w:hAnsi="Arial"/>
          <w:sz w:val="22"/>
        </w:rPr>
        <w:t>Functional fit overview against the scope above (please indicate native vs partner)</w:t>
      </w:r>
    </w:p>
    <w:p>
      <w:pPr>
        <w:pStyle w:val="ListBullet"/>
      </w:pPr>
      <w:r>
        <w:rPr>
          <w:rFonts w:ascii="Arial" w:hAnsi="Arial"/>
          <w:sz w:val="22"/>
        </w:rPr>
        <w:t>Localisation coverage (countries, languages, statutory reporting)</w:t>
      </w:r>
    </w:p>
    <w:p>
      <w:pPr>
        <w:pStyle w:val="ListBullet"/>
      </w:pPr>
      <w:r>
        <w:rPr>
          <w:rFonts w:ascii="Arial" w:hAnsi="Arial"/>
          <w:sz w:val="22"/>
        </w:rPr>
        <w:t>Integration platform capabilities</w:t>
      </w:r>
    </w:p>
    <w:p>
      <w:pPr>
        <w:pStyle w:val="ListBullet"/>
      </w:pPr>
      <w:r>
        <w:rPr>
          <w:rFonts w:ascii="Arial" w:hAnsi="Arial"/>
          <w:sz w:val="22"/>
        </w:rPr>
        <w:t>Industry-specific capability for [our sector]</w:t>
      </w:r>
    </w:p>
    <w:p>
      <w:pPr>
        <w:pStyle w:val="ListBullet"/>
      </w:pPr>
      <w:r>
        <w:rPr>
          <w:rFonts w:ascii="Arial" w:hAnsi="Arial"/>
          <w:sz w:val="22"/>
        </w:rPr>
        <w:t>Reporting &amp; analytics approach</w:t>
      </w:r>
    </w:p>
    <w:p>
      <w:pPr>
        <w:pStyle w:val="Heading2"/>
      </w:pPr>
      <w:r>
        <w:t>5.3 Implementation &amp; ALM</w:t>
      </w:r>
    </w:p>
    <w:p>
      <w:pPr>
        <w:pStyle w:val="ListBullet"/>
      </w:pPr>
      <w:r>
        <w:rPr>
          <w:rFonts w:ascii="Arial" w:hAnsi="Arial"/>
          <w:sz w:val="22"/>
        </w:rPr>
        <w:t>Recommended implementation methodology</w:t>
      </w:r>
    </w:p>
    <w:p>
      <w:pPr>
        <w:pStyle w:val="ListBullet"/>
      </w:pPr>
      <w:r>
        <w:rPr>
          <w:rFonts w:ascii="Arial" w:hAnsi="Arial"/>
          <w:sz w:val="22"/>
        </w:rPr>
        <w:t>Application Lifecycle Management (ALM) tooling provided</w:t>
      </w:r>
    </w:p>
    <w:p>
      <w:pPr>
        <w:pStyle w:val="ListBullet"/>
      </w:pPr>
      <w:r>
        <w:rPr>
          <w:rFonts w:ascii="Arial" w:hAnsi="Arial"/>
          <w:sz w:val="22"/>
        </w:rPr>
        <w:t>Environment strategy (DEV / TEST / UAT / PROD; refresh model; sandbox tiers)</w:t>
      </w:r>
    </w:p>
    <w:p>
      <w:pPr>
        <w:pStyle w:val="ListBullet"/>
      </w:pPr>
      <w:r>
        <w:rPr>
          <w:rFonts w:ascii="Arial" w:hAnsi="Arial"/>
          <w:sz w:val="22"/>
        </w:rPr>
        <w:t>DevOps support — CI/CD pipelines, source control integration</w:t>
      </w:r>
    </w:p>
    <w:p>
      <w:pPr>
        <w:pStyle w:val="ListBullet"/>
      </w:pPr>
      <w:r>
        <w:rPr>
          <w:rFonts w:ascii="Arial" w:hAnsi="Arial"/>
          <w:sz w:val="22"/>
        </w:rPr>
        <w:t>Recommended cutover and rollback approach for first go-live</w:t>
      </w:r>
    </w:p>
    <w:p>
      <w:pPr>
        <w:pStyle w:val="Heading2"/>
      </w:pPr>
      <w:r>
        <w:t>5.4 Partner ecosystem</w:t>
      </w:r>
    </w:p>
    <w:p>
      <w:pPr>
        <w:pStyle w:val="ListBullet"/>
      </w:pPr>
      <w:r>
        <w:rPr>
          <w:rFonts w:ascii="Arial" w:hAnsi="Arial"/>
          <w:sz w:val="22"/>
        </w:rPr>
        <w:t>List of certified SIs delivering at our scale in our region in the last 3 years</w:t>
      </w:r>
    </w:p>
    <w:p>
      <w:pPr>
        <w:pStyle w:val="ListBullet"/>
      </w:pPr>
      <w:r>
        <w:rPr>
          <w:rFonts w:ascii="Arial" w:hAnsi="Arial"/>
          <w:sz w:val="22"/>
        </w:rPr>
        <w:t>SI engagement model (single SI vs multi-SI; vendor's role in SI selection)</w:t>
      </w:r>
    </w:p>
    <w:p>
      <w:pPr>
        <w:pStyle w:val="ListBullet"/>
      </w:pPr>
      <w:r>
        <w:rPr>
          <w:rFonts w:ascii="Arial" w:hAnsi="Arial"/>
          <w:sz w:val="22"/>
        </w:rPr>
        <w:t>Vendor's professional services involvement during implementation and hypercare</w:t>
      </w:r>
    </w:p>
    <w:p>
      <w:pPr>
        <w:pStyle w:val="Heading2"/>
      </w:pPr>
      <w:r>
        <w:t>5.5 Commercial overview</w:t>
      </w:r>
    </w:p>
    <w:p>
      <w:pPr>
        <w:pStyle w:val="ListBullet"/>
      </w:pPr>
      <w:r>
        <w:rPr>
          <w:rFonts w:ascii="Arial" w:hAnsi="Arial"/>
          <w:sz w:val="22"/>
        </w:rPr>
        <w:t>Licence model (named user, tiered, capacity-based)</w:t>
      </w:r>
    </w:p>
    <w:p>
      <w:pPr>
        <w:pStyle w:val="ListBullet"/>
      </w:pPr>
      <w:r>
        <w:rPr>
          <w:rFonts w:ascii="Arial" w:hAnsi="Arial"/>
          <w:sz w:val="22"/>
        </w:rPr>
        <w:t>Indicative 5-year TCO for a programme of [N] users / [N] entities (do not provide a binding price; an order-of-magnitude band is sufficient)</w:t>
      </w:r>
    </w:p>
    <w:p>
      <w:pPr>
        <w:pStyle w:val="ListBullet"/>
      </w:pPr>
      <w:r>
        <w:rPr>
          <w:rFonts w:ascii="Arial" w:hAnsi="Arial"/>
          <w:sz w:val="22"/>
        </w:rPr>
        <w:t>Standard contract length and renewal pattern</w:t>
      </w:r>
    </w:p>
    <w:p>
      <w:pPr>
        <w:pStyle w:val="ListBullet"/>
      </w:pPr>
      <w:r>
        <w:rPr>
          <w:rFonts w:ascii="Arial" w:hAnsi="Arial"/>
          <w:sz w:val="22"/>
        </w:rPr>
        <w:t>Exit terms and data portability commitments</w:t>
      </w:r>
    </w:p>
    <w:p>
      <w:pPr>
        <w:pStyle w:val="Heading2"/>
      </w:pPr>
      <w:r>
        <w:t>5.6 References</w:t>
      </w:r>
    </w:p>
    <w:p>
      <w:pPr>
        <w:pStyle w:val="ListBullet"/>
      </w:pPr>
      <w:r>
        <w:rPr>
          <w:rFonts w:ascii="Arial" w:hAnsi="Arial"/>
          <w:sz w:val="22"/>
        </w:rPr>
        <w:t>Three reference customers (sector, scale and geography matched if possible)</w:t>
      </w:r>
    </w:p>
    <w:p>
      <w:pPr>
        <w:pStyle w:val="ListBullet"/>
      </w:pPr>
      <w:r>
        <w:rPr>
          <w:rFonts w:ascii="Arial" w:hAnsi="Arial"/>
          <w:sz w:val="22"/>
        </w:rPr>
        <w:t>Permission to contact references during S8</w:t>
      </w:r>
    </w:p>
    <w:p>
      <w:pPr>
        <w:pStyle w:val="Heading1"/>
      </w:pPr>
      <w:r>
        <w:t>6. Response format</w:t>
      </w:r>
    </w:p>
    <w:p>
      <w:r>
        <w:rPr>
          <w:rFonts w:ascii="Arial" w:hAnsi="Arial"/>
          <w:b w:val="0"/>
          <w:i w:val="0"/>
          <w:sz w:val="22"/>
        </w:rPr>
        <w:t>Responses to be submitted as a PDF, maximum 40 pages, addressing each section above. An executive summary of no more than 3 pages is required up front. Pricing information must be in a separate sealed file.</w:t>
      </w:r>
    </w:p>
    <w:p>
      <w:pPr>
        <w:pStyle w:val="Heading1"/>
      </w:pPr>
      <w:r>
        <w:t>7. Evaluation approach</w:t>
      </w:r>
    </w:p>
    <w:p>
      <w:r>
        <w:rPr>
          <w:rFonts w:ascii="Arial" w:hAnsi="Arial"/>
          <w:b w:val="0"/>
          <w:i w:val="0"/>
          <w:sz w:val="22"/>
        </w:rPr>
        <w:t>RFI responses will be evaluated against weighted criteria covering Functional Fit, Technical Architecture, Vendor Strength, Commercial, Adoption and Implementation Risk. The full scorecard will be issued to shortlisted vendors at S8 entry.</w:t>
      </w:r>
    </w:p>
    <w:p>
      <w:pPr>
        <w:pStyle w:val="Heading1"/>
      </w:pPr>
      <w:r>
        <w:t>8. Timeline</w:t>
      </w:r>
    </w:p>
    <w:tbl>
      <w:tblPr>
        <w:tblW w:type="auto" w:w="0"/>
        <w:tblLayout w:type="fixed"/>
        <w:tblLook w:firstColumn="1" w:firstRow="1" w:lastColumn="0" w:lastRow="0" w:noHBand="0" w:noVBand="1" w:val="04A0"/>
      </w:tblPr>
      <w:tblGrid>
        <w:gridCol w:w="4320"/>
        <w:gridCol w:w="4320"/>
      </w:tblGrid>
      <w:tr>
        <w:tc>
          <w:tcPr>
            <w:tcW w:type="dxa" w:w="45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Activity</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Date</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RFI issued</w:t>
            </w:r>
          </w:p>
        </w:tc>
        <w:tc>
          <w:tcPr>
            <w:tcW w:type="dxa" w:w="3402"/>
            <w:tcBorders>
              <w:top w:val="single" w:sz="6" w:color="BFBFBF"/>
              <w:left w:val="single" w:sz="6" w:color="BFBFBF"/>
              <w:bottom w:val="single" w:sz="6" w:color="BFBFBF"/>
              <w:right w:val="single" w:sz="6" w:color="BFBFBF"/>
            </w:tcBorders>
          </w:tcPr>
          <w:p>
            <w:r/>
            <w:r>
              <w:rPr>
                <w:rFonts w:ascii="Arial" w:hAnsi="Arial"/>
                <w:sz w:val="20"/>
              </w:rPr>
              <w:t>[DATE]</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Vendor questions due</w:t>
            </w:r>
          </w:p>
        </w:tc>
        <w:tc>
          <w:tcPr>
            <w:tcW w:type="dxa" w:w="3402"/>
            <w:tcBorders>
              <w:top w:val="single" w:sz="6" w:color="BFBFBF"/>
              <w:left w:val="single" w:sz="6" w:color="BFBFBF"/>
              <w:bottom w:val="single" w:sz="6" w:color="BFBFBF"/>
              <w:right w:val="single" w:sz="6" w:color="BFBFBF"/>
            </w:tcBorders>
          </w:tcPr>
          <w:p>
            <w:r/>
            <w:r>
              <w:rPr>
                <w:rFonts w:ascii="Arial" w:hAnsi="Arial"/>
                <w:sz w:val="20"/>
              </w:rPr>
              <w:t>[DATE+7]</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Responses due</w:t>
            </w:r>
          </w:p>
        </w:tc>
        <w:tc>
          <w:tcPr>
            <w:tcW w:type="dxa" w:w="3402"/>
            <w:tcBorders>
              <w:top w:val="single" w:sz="6" w:color="BFBFBF"/>
              <w:left w:val="single" w:sz="6" w:color="BFBFBF"/>
              <w:bottom w:val="single" w:sz="6" w:color="BFBFBF"/>
              <w:right w:val="single" w:sz="6" w:color="BFBFBF"/>
            </w:tcBorders>
          </w:tcPr>
          <w:p>
            <w:r/>
            <w:r>
              <w:rPr>
                <w:rFonts w:ascii="Arial" w:hAnsi="Arial"/>
                <w:sz w:val="20"/>
              </w:rPr>
              <w:t>[DATE+21]</w:t>
            </w:r>
          </w:p>
        </w:tc>
      </w:tr>
      <w:tr>
        <w:tc>
          <w:tcPr>
            <w:tcW w:type="dxa" w:w="4535"/>
            <w:tcBorders>
              <w:top w:val="single" w:sz="6" w:color="BFBFBF"/>
              <w:left w:val="single" w:sz="6" w:color="BFBFBF"/>
              <w:bottom w:val="single" w:sz="6" w:color="BFBFBF"/>
              <w:right w:val="single" w:sz="6" w:color="BFBFBF"/>
            </w:tcBorders>
          </w:tcPr>
          <w:p>
            <w:r/>
            <w:r>
              <w:rPr>
                <w:rFonts w:ascii="Arial" w:hAnsi="Arial"/>
                <w:sz w:val="20"/>
              </w:rPr>
              <w:t>Shortlist confirmed</w:t>
            </w:r>
          </w:p>
        </w:tc>
        <w:tc>
          <w:tcPr>
            <w:tcW w:type="dxa" w:w="3402"/>
            <w:tcBorders>
              <w:top w:val="single" w:sz="6" w:color="BFBFBF"/>
              <w:left w:val="single" w:sz="6" w:color="BFBFBF"/>
              <w:bottom w:val="single" w:sz="6" w:color="BFBFBF"/>
              <w:right w:val="single" w:sz="6" w:color="BFBFBF"/>
            </w:tcBorders>
          </w:tcPr>
          <w:p>
            <w:r/>
            <w:r>
              <w:rPr>
                <w:rFonts w:ascii="Arial" w:hAnsi="Arial"/>
                <w:sz w:val="20"/>
              </w:rPr>
              <w:t>[DATE+35]</w:t>
            </w:r>
          </w:p>
        </w:tc>
      </w:tr>
      <w:tr>
        <w:tc>
          <w:tcPr>
            <w:tcW w:type="dxa" w:w="4535"/>
            <w:tcBorders>
              <w:top w:val="single" w:sz="6" w:color="BFBFBF"/>
              <w:left w:val="single" w:sz="6" w:color="BFBFBF"/>
              <w:bottom w:val="single" w:sz="6" w:color="BFBFBF"/>
              <w:right w:val="single" w:sz="6" w:color="BFBFBF"/>
            </w:tcBorders>
          </w:tcPr>
          <w:p>
            <w:r>
              <w:t>S8 demos begin</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t>[DATE+42]</w:t>
            </w:r>
          </w:p>
        </w:tc>
      </w:tr>
    </w:tbl>
    <w:p/>
    <w:p>
      <w:pPr>
        <w:pStyle w:val="Heading1"/>
      </w:pPr>
      <w:r>
        <w:t>9. Confidentiality &amp; disclaimer</w:t>
      </w:r>
    </w:p>
    <w:p>
      <w:r>
        <w:rPr>
          <w:rFonts w:ascii="Arial" w:hAnsi="Arial"/>
          <w:b w:val="0"/>
          <w:i w:val="0"/>
          <w:sz w:val="22"/>
        </w:rPr>
        <w:t>All information contained in this RFI is confidential and provided solely for the purpose of preparing a response. By responding, the vendor accepts that this RFI does not bind [Company] to procure, and that [Company] reserves the right to amend or withdraw the process at any time.</w:t>
      </w:r>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E276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