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RFP Template — Request for Proposal</w:t>
      </w:r>
    </w:p>
    <w:p>
      <w:r>
        <w:t>Stages 8–9 — Software Selection / SI Selection · Shortlist round</w:t>
      </w:r>
    </w:p>
    <w:tbl>
      <w:tblPr>
        <w:tblStyle w:val="LightGrid-Accent1"/>
        <w:tblW w:type="auto" w:w="0"/>
        <w:tblLook w:firstColumn="1" w:firstRow="1" w:lastColumn="0" w:lastRow="0" w:noHBand="0" w:noVBand="1" w:val="04A0"/>
      </w:tblPr>
      <w:tblGrid>
        <w:gridCol w:w="4320"/>
        <w:gridCol w:w="4320"/>
      </w:tblGrid>
      <w:tr>
        <w:tc>
          <w:tcPr>
            <w:tcW w:type="dxa" w:w="4320"/>
          </w:tcPr>
          <w:p>
            <w:r>
              <w:rPr>
                <w:b/>
              </w:rPr>
              <w:t>Document</w:t>
            </w:r>
          </w:p>
        </w:tc>
        <w:tc>
          <w:tcPr>
            <w:tcW w:type="dxa" w:w="4320"/>
          </w:tcPr>
          <w:p>
            <w:r>
              <w:t>RFP / ITT Template</w:t>
            </w:r>
          </w:p>
        </w:tc>
      </w:tr>
      <w:tr>
        <w:tc>
          <w:tcPr>
            <w:tcW w:type="dxa" w:w="4320"/>
          </w:tcPr>
          <w:p>
            <w:r>
              <w:rPr>
                <w:b/>
              </w:rPr>
              <w:t>Version</w:t>
            </w:r>
          </w:p>
        </w:tc>
        <w:tc>
          <w:tcPr>
            <w:tcW w:type="dxa" w:w="4320"/>
          </w:tcPr>
          <w:p>
            <w:r>
              <w:t>v1.0 (TEMPLATE) — 19 May 2026</w:t>
            </w:r>
          </w:p>
        </w:tc>
      </w:tr>
      <w:tr>
        <w:tc>
          <w:tcPr>
            <w:tcW w:type="dxa" w:w="4320"/>
          </w:tcPr>
          <w:p>
            <w:r>
              <w:rPr>
                <w:b/>
              </w:rPr>
              <w:t>Owner</w:t>
            </w:r>
          </w:p>
        </w:tc>
        <w:tc>
          <w:tcPr>
            <w:tcW w:type="dxa" w:w="4320"/>
          </w:tcPr>
          <w:p>
            <w:r>
              <w:t>Procurement Lead (with Programme Manager + Solution Architect)</w:t>
            </w:r>
          </w:p>
        </w:tc>
      </w:tr>
      <w:tr>
        <w:tc>
          <w:tcPr>
            <w:tcW w:type="dxa" w:w="4320"/>
          </w:tcPr>
          <w:p>
            <w:r>
              <w:rPr>
                <w:b/>
              </w:rPr>
              <w:t>Stage</w:t>
            </w:r>
          </w:p>
        </w:tc>
        <w:tc>
          <w:tcPr>
            <w:tcW w:type="dxa" w:w="4320"/>
          </w:tcPr>
          <w:p>
            <w:r>
              <w:t>Stages 8–9 — Software Selection / SI Selection</w:t>
            </w:r>
          </w:p>
        </w:tc>
      </w:tr>
      <w:tr>
        <w:tc>
          <w:tcPr>
            <w:tcW w:type="dxa" w:w="4320"/>
          </w:tcPr>
          <w:p>
            <w:r>
              <w:rPr>
                <w:b/>
              </w:rPr>
              <w:t>Classification</w:t>
            </w:r>
          </w:p>
        </w:tc>
        <w:tc>
          <w:tcPr>
            <w:tcW w:type="dxa" w:w="4320"/>
          </w:tcPr>
          <w:p>
            <w:r>
              <w:t>Programme Use</w:t>
            </w:r>
          </w:p>
        </w:tc>
      </w:tr>
    </w:tbl>
    <w:p/>
    <w:p>
      <w:pPr>
        <w:pStyle w:val="Heading1"/>
      </w:pPr>
      <w:r>
        <w:t>Purpose of the RFP</w:t>
      </w:r>
    </w:p>
    <w:p>
      <w:r>
        <w:t>The RFP is the shortlist round. It tests how each shortlisted SI proposes to deliver the programme, what solution they would implement, and at what price. The first ROM (Rough Order of Magnitude) lands here, at ±30% variance. The RFP feeds the orals/demos round and then BAFO (Best and Final Offer) before SI selection.</w:t>
      </w:r>
    </w:p>
    <w:p>
      <w:pPr>
        <w:pStyle w:val="Heading1"/>
      </w:pPr>
      <w:r>
        <w:t>Worked example — AcmeWidget Ltd (mid-market D365 F&amp;O programme)</w:t>
      </w:r>
    </w:p>
    <w:p>
      <w:r>
        <w:t>AcmeWidget has shortlisted three D365 Gold Partners after RFI scoring. Each is issued the RFP below. Responses are due in four weeks. Three responses returned; ROM range across the three is £4.1m–£6.8m for the same scope.</w:t>
      </w:r>
    </w:p>
    <w:p>
      <w:pPr>
        <w:pStyle w:val="Heading2"/>
      </w:pPr>
      <w:r>
        <w:t>Section 1 — Programme overview and objectives</w:t>
      </w:r>
    </w:p>
    <w:p>
      <w:r>
        <w:rPr>
          <w:b/>
        </w:rPr>
        <w:t xml:space="preserve">RFP brief: </w:t>
      </w:r>
      <w:r>
        <w:t>Client to write — describe the programme, the business case, the benefits, the constraints.</w:t>
      </w:r>
    </w:p>
    <w:p>
      <w:r>
        <w:rPr>
          <w:i/>
        </w:rPr>
        <w:t xml:space="preserve">AcmeWidget example: </w:t>
      </w:r>
      <w:r>
        <w:rPr>
          <w:i/>
        </w:rPr>
        <w:t>AcmeWidget worked example: AcmeWidget is replacing its legacy ERP (running for 18 years) with D365 F&amp;O. Drivers: month-end close compressed from 12 days to 4 days; consolidated reporting across three legal entities; single source of truth for product data. Benefits map references attached. Go-live target: October 2027 (16-month delivery from S10 entry).</w:t>
      </w:r>
    </w:p>
    <w:p>
      <w:pPr>
        <w:pStyle w:val="Heading2"/>
      </w:pPr>
      <w:r>
        <w:t>Section 2 — Scope</w:t>
      </w:r>
    </w:p>
    <w:p>
      <w:r>
        <w:rPr>
          <w:b/>
        </w:rPr>
        <w:t xml:space="preserve">RFP brief: </w:t>
      </w:r>
      <w:r>
        <w:t>Client to write — what's in, what's out. Process scope, data scope, integration scope, geography scope.</w:t>
      </w:r>
    </w:p>
    <w:p>
      <w:r>
        <w:rPr>
          <w:i/>
        </w:rPr>
        <w:t xml:space="preserve">AcmeWidget example: </w:t>
      </w:r>
      <w:r>
        <w:rPr>
          <w:i/>
        </w:rPr>
        <w:t>AcmeWidget worked example: In scope — Finance (GL, AP, AR, Fixed Assets, Cash Management), Supply Chain (Procurement, Inventory, Warehouse Management for two DCs), Manufacturing (Production Control, Master Planning), Sales (Order Management, Customer Master). Out of scope — CRM (Phase 2), Project Operations (no project-led revenue today), HR/Payroll (remains on Workday). Integrations — Workday (employee master, monthly payroll journal), Salesforce (customer master, order push), bank file format compatibility with HSBC. Geography — UK, France, Germany. Single instance, three legal entities.</w:t>
      </w:r>
    </w:p>
    <w:p>
      <w:pPr>
        <w:pStyle w:val="Heading2"/>
      </w:pPr>
      <w:r>
        <w:t>Section 3 — Requirements summary</w:t>
      </w:r>
    </w:p>
    <w:p>
      <w:r>
        <w:rPr>
          <w:b/>
        </w:rPr>
        <w:t xml:space="preserve">RFP brief: </w:t>
      </w:r>
      <w:r>
        <w:t>Client to write — high-level requirements catalogue. Detailed requirements are confirmed at Discovery (S11), but the RFP needs enough to enable a meaningful ROM.</w:t>
      </w:r>
    </w:p>
    <w:p>
      <w:r>
        <w:rPr>
          <w:i/>
        </w:rPr>
        <w:t xml:space="preserve">AcmeWidget example: </w:t>
      </w:r>
      <w:r>
        <w:rPr>
          <w:i/>
        </w:rPr>
        <w:t>AcmeWidget worked example: 247 functional requirements catalogued across the five workstreams (full catalogue attached). 84 marked Must Have, 112 Should Have, 51 Could Have. Detailed Discovery at S11 will confirm and prioritise. Notable non-functional requirements: 200 concurrent users at peak, month-end batch window 4 hours, RPO 1 hour, RTO 4 hours, ISO 27001 alignment, GDPR compliance.</w:t>
      </w:r>
    </w:p>
    <w:p>
      <w:pPr>
        <w:pStyle w:val="Heading2"/>
      </w:pPr>
      <w:r>
        <w:t>Section 4 — Proposed delivery approach</w:t>
      </w:r>
    </w:p>
    <w:p>
      <w:r>
        <w:rPr>
          <w:b/>
        </w:rPr>
        <w:t xml:space="preserve">RFP brief: </w:t>
      </w:r>
      <w:r>
        <w:t>SI to respond — how the SI proposes to deliver the programme. Phases, gates, key milestones, team shape, ways of working.</w:t>
      </w:r>
    </w:p>
    <w:p>
      <w:r>
        <w:rPr>
          <w:i/>
        </w:rPr>
        <w:t xml:space="preserve">AcmeWidget example: </w:t>
      </w:r>
      <w:r>
        <w:rPr>
          <w:i/>
        </w:rPr>
        <w:t>AcmeWidget worked example response (one of three): [SI Name] proposes a 16-month delivery using their standard methodology (one-page overview attached). Six phases: Discover (8 weeks), Design (10 weeks), Build (24 weeks), Test (12 weeks), Deploy (8 weeks), Sustain (12 weeks hypercare). Five test levels per Keystone. Joint DA cadence bi-weekly from end of Discovery; SteerCo monthly from S10. Co-located Discovery and UAT; build distributed UK + near-shore.</w:t>
      </w:r>
    </w:p>
    <w:p>
      <w:pPr>
        <w:pStyle w:val="Heading2"/>
      </w:pPr>
      <w:r>
        <w:t>Section 5 — Proposed solution</w:t>
      </w:r>
    </w:p>
    <w:p>
      <w:r>
        <w:rPr>
          <w:b/>
        </w:rPr>
        <w:t xml:space="preserve">RFP brief: </w:t>
      </w:r>
      <w:r>
        <w:t>SI to respond — what solution would the SI implement? Standard config vs extensions, ISVs proposed, integration architecture, data migration approach.</w:t>
      </w:r>
    </w:p>
    <w:p>
      <w:r>
        <w:rPr>
          <w:i/>
        </w:rPr>
        <w:t xml:space="preserve">AcmeWidget example: </w:t>
      </w:r>
      <w:r>
        <w:rPr>
          <w:i/>
        </w:rPr>
        <w:t>AcmeWidget worked example response: [SI Name] proposes standard D365 F&amp;O with three named extensions: (a) custom batch posting routine for AcmeWidget's existing month-end pattern, (b) ISV integration with HSBC's bank file format (Bottomline Technologies), (c) custom dashboard pack for Operations. Integration via Dual Write for Salesforce sync; Logic Apps for Workday journal feed. Data migration via SI's standard tooling; two mock-load cycles plus go-live load. No custom developments in core finance — all configuration.</w:t>
      </w:r>
    </w:p>
    <w:p>
      <w:pPr>
        <w:pStyle w:val="Heading2"/>
      </w:pPr>
      <w:r>
        <w:t>Section 6 — Team and CVs</w:t>
      </w:r>
    </w:p>
    <w:p>
      <w:r>
        <w:rPr>
          <w:b/>
        </w:rPr>
        <w:t xml:space="preserve">RFP brief: </w:t>
      </w:r>
      <w:r>
        <w:t>SI to respond — who will deliver the programme. Named individuals where possible; role descriptions where not.</w:t>
      </w:r>
    </w:p>
    <w:p>
      <w:r>
        <w:rPr>
          <w:i/>
        </w:rPr>
        <w:t xml:space="preserve">AcmeWidget example: </w:t>
      </w:r>
      <w:r>
        <w:rPr>
          <w:i/>
        </w:rPr>
        <w:t>AcmeWidget worked example response: Named team — Programme Director [Name, attached CV, 14 years in D365], Solution Architect [Name, attached CV], Finance Lead [Name, CV attached], Supply Chain Lead [Name, CV attached]. Other roles will be named at SOW 1 sign. Note: the people in this RFP team are the people in the orals; bait-and-switch is not [SI Name]'s practice.</w:t>
      </w:r>
    </w:p>
    <w:p>
      <w:pPr>
        <w:pStyle w:val="Heading2"/>
      </w:pPr>
      <w:r>
        <w:t>Section 7 — Methodology and governance alignment</w:t>
      </w:r>
    </w:p>
    <w:p>
      <w:r>
        <w:rPr>
          <w:b/>
        </w:rPr>
        <w:t xml:space="preserve">RFP brief: </w:t>
      </w:r>
      <w:r>
        <w:t>SI to respond — how does the SI's method map to the Client's? Where are the gaps and how are they bridged?</w:t>
      </w:r>
    </w:p>
    <w:p>
      <w:r>
        <w:rPr>
          <w:i/>
        </w:rPr>
        <w:t xml:space="preserve">AcmeWidget example: </w:t>
      </w:r>
      <w:r>
        <w:rPr>
          <w:i/>
        </w:rPr>
        <w:t>AcmeWidget worked example response: One-page alignment mapping attached. [SI Name]'s six-phase method aligns to Keystone's six lifecycle phases. Test levels — [SI Name] uses five levels (Unit, FAT, SIT, UAT, NFT); Keystone has eight (adds SAT, Mini-BAT, BAT). Gap is real; [SI Name] proposes to adopt the eight-level model for this programme. Cadence — [SI Name]'s bi-weekly DA aligns; SteerCo monthly aligns. No methodology gaps remain unresolved.</w:t>
      </w:r>
    </w:p>
    <w:p>
      <w:pPr>
        <w:pStyle w:val="Heading2"/>
      </w:pPr>
      <w:r>
        <w:t>Section 8 — Commercial response (the first ROM)</w:t>
      </w:r>
    </w:p>
    <w:p>
      <w:r>
        <w:rPr>
          <w:b/>
        </w:rPr>
        <w:t xml:space="preserve">RFP brief: </w:t>
      </w:r>
      <w:r>
        <w:t>SI to respond — what the programme will cost. Pricing structure, ROM range, day-rates, and the assumptions behind the number.</w:t>
      </w:r>
    </w:p>
    <w:p>
      <w:r>
        <w:rPr>
          <w:i/>
        </w:rPr>
        <w:t xml:space="preserve">AcmeWidget example: </w:t>
      </w:r>
      <w:r>
        <w:rPr>
          <w:i/>
        </w:rPr>
        <w:t>AcmeWidget worked example response: ROM total £5.2m at ±30%. Breakdown: SOW 1 Discovery £180k fixed; SOW 2 Design £640k capped T&amp;M; SOW 3 Build/Test/Deploy/Hypercare £4.38m capped T&amp;M with milestone payments. Day-rates per RFI response. Assumptions: 247 requirements as scoped; 16-month delivery; standard config with three named extensions; one global instance, three legal entities; UK Outside IR35 staffing. Variance drivers: data quality of the legacy system, scope of customisation surfacing at Discovery, integration complexity with Workday/Salesforce.</w:t>
      </w:r>
    </w:p>
    <w:p>
      <w:pPr>
        <w:pStyle w:val="Heading2"/>
      </w:pPr>
      <w:r>
        <w:t>Section 9 — Timeline</w:t>
      </w:r>
    </w:p>
    <w:p>
      <w:r>
        <w:rPr>
          <w:b/>
        </w:rPr>
        <w:t xml:space="preserve">RFP brief: </w:t>
      </w:r>
      <w:r>
        <w:t>SI to respond — Gantt-equivalent of the proposed delivery. Key milestones, gates, dependencies.</w:t>
      </w:r>
    </w:p>
    <w:p>
      <w:r>
        <w:rPr>
          <w:i/>
        </w:rPr>
        <w:t xml:space="preserve">AcmeWidget example: </w:t>
      </w:r>
      <w:r>
        <w:rPr>
          <w:i/>
        </w:rPr>
        <w:t>AcmeWidget worked example response: Attached PowerPoint timeline with monthly granularity. Key milestones: SOW 1 sign Aug 2026, Discovery Sign-Off Oct 2026, Design Sign-Off Jan 2027, Build Complete Jun 2027, UAT Exit Aug 2027, Go-Live Oct 2027, Hypercare Exit Jan 2028. Critical dependencies: data cleansing complete by Discovery Sign-Off; Process Owners named by S10 entry; UAT testers identified by Build Complete.</w:t>
      </w:r>
    </w:p>
    <w:p>
      <w:pPr>
        <w:pStyle w:val="Heading2"/>
      </w:pPr>
      <w:r>
        <w:t>Section 10 — Assumptions, risks, constraints</w:t>
      </w:r>
    </w:p>
    <w:p>
      <w:r>
        <w:rPr>
          <w:b/>
        </w:rPr>
        <w:t xml:space="preserve">RFP brief: </w:t>
      </w:r>
      <w:r>
        <w:t>SI to respond — what assumptions is the SI making? What risks does the SI see? What constraints would the SI like to flag?</w:t>
      </w:r>
    </w:p>
    <w:p>
      <w:r>
        <w:rPr>
          <w:i/>
        </w:rPr>
        <w:t xml:space="preserve">AcmeWidget example: </w:t>
      </w:r>
      <w:r>
        <w:rPr>
          <w:i/>
        </w:rPr>
        <w:t>AcmeWidget worked example response: 14 stated assumptions on a single page (attached). Top three risks: (a) data quality of legacy system worse than RFP scope describes, (b) Process Owner availability during Discovery, (c) integration with Salesforce complexity. Constraints: SOW 3 requires Design Sign-Off before issue; SI cannot start build without signed SOW 3.</w:t>
      </w:r>
    </w:p>
    <w:p>
      <w:pPr>
        <w:pStyle w:val="Heading2"/>
      </w:pPr>
      <w:r>
        <w:t>Section 11 — Reference sites</w:t>
      </w:r>
    </w:p>
    <w:p>
      <w:r>
        <w:rPr>
          <w:b/>
        </w:rPr>
        <w:t xml:space="preserve">RFP brief: </w:t>
      </w:r>
      <w:r>
        <w:t>SI to respond — peer-scale references the Client can visit or call.</w:t>
      </w:r>
    </w:p>
    <w:p>
      <w:r>
        <w:rPr>
          <w:i/>
        </w:rPr>
        <w:t xml:space="preserve">AcmeWidget example: </w:t>
      </w:r>
      <w:r>
        <w:rPr>
          <w:i/>
        </w:rPr>
        <w:t>AcmeWidget worked example response: Three references nominated: [Client A] (£62m revenue mid-market distributor, D365 F&amp;O + supply chain, live), [Client B] (£75m revenue manufacturer, D365 F&amp;O + project ops, in hypercare), [Client C] (£45m revenue not-for-profit, D365 F&amp;O + finance, live). All willing to take a call; site visits available on request.</w:t>
      </w:r>
    </w:p>
    <w:p>
      <w:r>
        <w:br w:type="page"/>
      </w:r>
    </w:p>
    <w:p>
      <w:pPr>
        <w:pStyle w:val="Heading1"/>
      </w:pPr>
      <w:r>
        <w:t>Your programme — RFP Template (blank)</w:t>
      </w:r>
    </w:p>
    <w:p>
      <w:r>
        <w:t>Replicate the section structure above. The Client writes Sections 1–3 (overview, scope, requirements summary) and issues the document to the shortlist. The SI responds to Sections 4–11. Set a four-week response window. The Programme Manager, Procurement Lead, Solution Architect and Legal review responses against the Selection Scoring Matrix.</w:t>
      </w:r>
    </w:p>
    <w:p>
      <w:pPr>
        <w:pStyle w:val="Heading2"/>
      </w:pPr>
      <w:r>
        <w:t>Section 1 — Programme overview and objectives</w:t>
      </w:r>
    </w:p>
    <w:p>
      <w:r>
        <w:t>[Client brief or SI response — see worked example above for content depth expected]</w:t>
      </w:r>
    </w:p>
    <w:p>
      <w:pPr>
        <w:pStyle w:val="Heading2"/>
      </w:pPr>
      <w:r>
        <w:t>Section 2 — Scope</w:t>
      </w:r>
    </w:p>
    <w:p>
      <w:r>
        <w:t>[Client brief or SI response — see worked example above for content depth expected]</w:t>
      </w:r>
    </w:p>
    <w:p>
      <w:pPr>
        <w:pStyle w:val="Heading2"/>
      </w:pPr>
      <w:r>
        <w:t>Section 3 — Requirements summary</w:t>
      </w:r>
    </w:p>
    <w:p>
      <w:r>
        <w:t>[Client brief or SI response — see worked example above for content depth expected]</w:t>
      </w:r>
    </w:p>
    <w:p>
      <w:pPr>
        <w:pStyle w:val="Heading2"/>
      </w:pPr>
      <w:r>
        <w:t>Section 4 — Proposed delivery approach</w:t>
      </w:r>
    </w:p>
    <w:p>
      <w:r>
        <w:t>[Client brief or SI response — see worked example above for content depth expected]</w:t>
      </w:r>
    </w:p>
    <w:p>
      <w:pPr>
        <w:pStyle w:val="Heading2"/>
      </w:pPr>
      <w:r>
        <w:t>Section 5 — Proposed solution</w:t>
      </w:r>
    </w:p>
    <w:p>
      <w:r>
        <w:t>[Client brief or SI response — see worked example above for content depth expected]</w:t>
      </w:r>
    </w:p>
    <w:p>
      <w:pPr>
        <w:pStyle w:val="Heading2"/>
      </w:pPr>
      <w:r>
        <w:t>Section 6 — Team and CVs</w:t>
      </w:r>
    </w:p>
    <w:p>
      <w:r>
        <w:t>[Client brief or SI response — see worked example above for content depth expected]</w:t>
      </w:r>
    </w:p>
    <w:p>
      <w:pPr>
        <w:pStyle w:val="Heading2"/>
      </w:pPr>
      <w:r>
        <w:t>Section 7 — Methodology and governance alignment</w:t>
      </w:r>
    </w:p>
    <w:p>
      <w:r>
        <w:t>[Client brief or SI response — see worked example above for content depth expected]</w:t>
      </w:r>
    </w:p>
    <w:p>
      <w:pPr>
        <w:pStyle w:val="Heading2"/>
      </w:pPr>
      <w:r>
        <w:t>Section 8 — Commercial response (the first ROM)</w:t>
      </w:r>
    </w:p>
    <w:p>
      <w:r>
        <w:t>[Client brief or SI response — see worked example above for content depth expected]</w:t>
      </w:r>
    </w:p>
    <w:p>
      <w:pPr>
        <w:pStyle w:val="Heading2"/>
      </w:pPr>
      <w:r>
        <w:t>Section 9 — Timeline</w:t>
      </w:r>
    </w:p>
    <w:p>
      <w:r>
        <w:t>[Client brief or SI response — see worked example above for content depth expected]</w:t>
      </w:r>
    </w:p>
    <w:p>
      <w:pPr>
        <w:pStyle w:val="Heading2"/>
      </w:pPr>
      <w:r>
        <w:t>Section 10 — Assumptions, risks, constraints</w:t>
      </w:r>
    </w:p>
    <w:p>
      <w:r>
        <w:t>[Client brief or SI response — see worked example above for content depth expected]</w:t>
      </w:r>
    </w:p>
    <w:p>
      <w:pPr>
        <w:pStyle w:val="Heading2"/>
      </w:pPr>
      <w:r>
        <w:t>Section 11 — Reference sites</w:t>
      </w:r>
    </w:p>
    <w:p>
      <w:r>
        <w:t>[Client brief or SI response — see worked example above for content depth expected]</w:t>
      </w:r>
    </w:p>
    <w:p>
      <w:pPr>
        <w:pStyle w:val="Heading1"/>
      </w:pPr>
      <w:r>
        <w:t>Process</w:t>
      </w:r>
    </w:p>
    <w:p>
      <w:r>
        <w:t>RFP issued Week 1. Responses due Week 5. Orals/demos with each shortlisted SI Weeks 6–7. Reference calls Week 7. BAFO Week 8. SI selection and contract drafting Weeks 9–10. MSA + SOW 1 sign by end of S9 — before Programme Setup &amp; Mobilisation (S10).</w:t>
      </w:r>
    </w:p>
    <w:p>
      <w:r>
        <w:t>Companion artefacts: RFI Template (S7).docx · Selection Scoring Matrix (S8–S9).xlsx · Reference Call Questions (S8–S9).docx · SI Selection &amp; Method Alignment.pptx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