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1E2761"/>
          <w:sz w:val="64"/>
        </w:rPr>
        <w:t>Risk Management Plan</w:t>
      </w:r>
    </w:p>
    <w:p>
      <w:r>
        <w:rPr>
          <w:rFonts w:ascii="Arial" w:hAnsi="Arial"/>
          <w:i/>
          <w:color w:val="595959"/>
          <w:sz w:val="28"/>
        </w:rPr>
        <w:t>ERP Programme — process, severity scales, escalation. Companion document to the RAID Log.</w:t>
      </w:r>
    </w:p>
    <w:p>
      <w:pPr>
        <w:pBdr>
          <w:bottom w:val="single" w:sz="18" w:color="1E2761" w:space="1"/>
        </w:pBdr>
      </w:pPr>
    </w:p>
    <w:tbl>
      <w:tblPr>
        <w:tblW w:type="auto" w:w="0"/>
        <w:tblLayout w:type="fixed"/>
        <w:tblLook w:firstColumn="1" w:firstRow="1" w:lastColumn="0" w:lastRow="0" w:noHBand="0" w:noVBand="1" w:val="04A0"/>
      </w:tblPr>
      <w:tblGrid>
        <w:gridCol w:w="4320"/>
        <w:gridCol w:w="4320"/>
      </w:tblGrid>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Document</w:t>
            </w:r>
          </w:p>
        </w:tc>
        <w:tc>
          <w:tcPr>
            <w:tcW w:type="dxa" w:w="6236"/>
            <w:tcBorders>
              <w:top w:val="single" w:sz="6" w:color="BFBFBF"/>
              <w:left w:val="single" w:sz="6" w:color="BFBFBF"/>
              <w:bottom w:val="single" w:sz="6" w:color="BFBFBF"/>
              <w:right w:val="single" w:sz="6" w:color="BFBFBF"/>
            </w:tcBorders>
          </w:tcPr>
          <w:p>
            <w:r/>
            <w:r>
              <w:rPr>
                <w:rFonts w:ascii="Arial" w:hAnsi="Arial"/>
                <w:sz w:val="22"/>
              </w:rPr>
              <w:t>Risk Management Plan</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Version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v1.0 (TEMPLATE)</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Date</w:t>
            </w:r>
          </w:p>
        </w:tc>
        <w:tc>
          <w:tcPr>
            <w:tcW w:type="dxa" w:w="6236"/>
            <w:tcBorders>
              <w:top w:val="single" w:sz="6" w:color="BFBFBF"/>
              <w:left w:val="single" w:sz="6" w:color="BFBFBF"/>
              <w:bottom w:val="single" w:sz="6" w:color="BFBFBF"/>
              <w:right w:val="single" w:sz="6" w:color="BFBFBF"/>
            </w:tcBorders>
          </w:tcPr>
          <w:p>
            <w:r/>
            <w:r>
              <w:rPr>
                <w:rFonts w:ascii="Arial" w:hAnsi="Arial"/>
                <w:sz w:val="22"/>
              </w:rPr>
              <w:t>April 2026</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Owner</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Manager</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Classification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Use</w:t>
            </w:r>
          </w:p>
        </w:tc>
      </w:tr>
    </w:tbl>
    <w:p>
      <w:r>
        <w:br w:type="page"/>
      </w:r>
    </w:p>
    <w:p>
      <w:pPr>
        <w:pStyle w:val="Heading1"/>
      </w:pPr>
      <w:r>
        <w:t>1. Purpose</w:t>
      </w:r>
    </w:p>
    <w:p>
      <w:r>
        <w:rPr>
          <w:rFonts w:ascii="Arial" w:hAnsi="Arial"/>
          <w:b w:val="0"/>
          <w:i w:val="0"/>
          <w:sz w:val="22"/>
        </w:rPr>
        <w:t>Defines how risks are identified, assessed, owned, mitigated, escalated and closed across the ERP Programme. Operates with the RAID Log workbook (which is the operational artefact). This document is approved by the Steering Committee at Solution Design &amp; Full Business Case (S12).</w:t>
      </w:r>
    </w:p>
    <w:p>
      <w:pPr>
        <w:pStyle w:val="Heading1"/>
      </w:pPr>
      <w:r>
        <w:t>2. Process</w:t>
      </w:r>
    </w:p>
    <w:p>
      <w:r>
        <w:rPr>
          <w:rFonts w:ascii="Arial" w:hAnsi="Arial"/>
          <w:b w:val="0"/>
          <w:i w:val="0"/>
          <w:sz w:val="22"/>
        </w:rPr>
        <w:t>1. IDENTIFY — workstream leads raise risks weekly; programme members raise as soon as identified. Sources include workshops, standups, defect triage, third-party advice and audit findings.</w:t>
      </w:r>
    </w:p>
    <w:p>
      <w:r>
        <w:rPr>
          <w:rFonts w:ascii="Arial" w:hAnsi="Arial"/>
          <w:b w:val="0"/>
          <w:i w:val="0"/>
          <w:sz w:val="22"/>
        </w:rPr>
        <w:t>2. ASSESS — Likelihood (1–5) × Impact (1–5) = Score (1–25). Scoring is done by the risk owner with challenge from the Programme Manager. RAG: Red ≥ 15, Amber 8–14, Green ≤ 7.</w:t>
      </w:r>
    </w:p>
    <w:p>
      <w:r>
        <w:rPr>
          <w:rFonts w:ascii="Arial" w:hAnsi="Arial"/>
          <w:b w:val="0"/>
          <w:i w:val="0"/>
          <w:sz w:val="22"/>
        </w:rPr>
        <w:t>3. RESPOND — chosen response is one of: Avoid, Reduce, Transfer, Accept. Mitigation actions have an owner and a due date.</w:t>
      </w:r>
    </w:p>
    <w:p>
      <w:r>
        <w:rPr>
          <w:rFonts w:ascii="Arial" w:hAnsi="Arial"/>
          <w:b w:val="0"/>
          <w:i w:val="0"/>
          <w:sz w:val="22"/>
        </w:rPr>
        <w:t>4. MONITOR — risk owners update weekly. Programme Manager reviews aged risks fortnightly. SteerCo reviews Top 10 monthly.</w:t>
      </w:r>
    </w:p>
    <w:p>
      <w:r>
        <w:rPr>
          <w:rFonts w:ascii="Arial" w:hAnsi="Arial"/>
          <w:b w:val="0"/>
          <w:i w:val="0"/>
          <w:sz w:val="22"/>
        </w:rPr>
        <w:t>5. ESCALATE — see Section 4.</w:t>
      </w:r>
    </w:p>
    <w:p>
      <w:r>
        <w:rPr>
          <w:rFonts w:ascii="Arial" w:hAnsi="Arial"/>
          <w:b w:val="0"/>
          <w:i w:val="0"/>
          <w:sz w:val="22"/>
        </w:rPr>
        <w:t>6. CLOSE — risk is closed when no longer applicable, mitigated below tolerance, or has materialised (in which case it becomes an Issue and moves to the Issues sheet).</w:t>
      </w:r>
    </w:p>
    <w:p>
      <w:pPr>
        <w:pStyle w:val="Heading1"/>
      </w:pPr>
      <w:r>
        <w:t>3. Severity scales</w:t>
      </w:r>
    </w:p>
    <w:tbl>
      <w:tblPr>
        <w:tblW w:type="auto" w:w="0"/>
        <w:tblLayout w:type="fixed"/>
        <w:tblLook w:firstColumn="1" w:firstRow="1" w:lastColumn="0" w:lastRow="0" w:noHBand="0" w:noVBand="1" w:val="04A0"/>
      </w:tblPr>
      <w:tblGrid>
        <w:gridCol w:w="2880"/>
        <w:gridCol w:w="2880"/>
        <w:gridCol w:w="2880"/>
      </w:tblGrid>
      <w:tr>
        <w:tc>
          <w:tcPr>
            <w:tcW w:type="dxa" w:w="1134"/>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Score</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Likelihood</w:t>
            </w:r>
          </w:p>
        </w:tc>
        <w:tc>
          <w:tcPr>
            <w:tcW w:type="dxa" w:w="45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Impact</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1</w:t>
            </w:r>
          </w:p>
        </w:tc>
        <w:tc>
          <w:tcPr>
            <w:tcW w:type="dxa" w:w="2835"/>
            <w:tcBorders>
              <w:top w:val="single" w:sz="6" w:color="BFBFBF"/>
              <w:left w:val="single" w:sz="6" w:color="BFBFBF"/>
              <w:bottom w:val="single" w:sz="6" w:color="BFBFBF"/>
              <w:right w:val="single" w:sz="6" w:color="BFBFBF"/>
            </w:tcBorders>
          </w:tcPr>
          <w:p>
            <w:r/>
            <w:r>
              <w:rPr>
                <w:rFonts w:ascii="Arial" w:hAnsi="Arial"/>
                <w:sz w:val="20"/>
              </w:rPr>
              <w:t>Rare (&lt;10%)</w:t>
            </w:r>
          </w:p>
        </w:tc>
        <w:tc>
          <w:tcPr>
            <w:tcW w:type="dxa" w:w="4535"/>
            <w:tcBorders>
              <w:top w:val="single" w:sz="6" w:color="BFBFBF"/>
              <w:left w:val="single" w:sz="6" w:color="BFBFBF"/>
              <w:bottom w:val="single" w:sz="6" w:color="BFBFBF"/>
              <w:right w:val="single" w:sz="6" w:color="BFBFBF"/>
            </w:tcBorders>
          </w:tcPr>
          <w:p>
            <w:r/>
            <w:r>
              <w:rPr>
                <w:rFonts w:ascii="Arial" w:hAnsi="Arial"/>
                <w:sz w:val="20"/>
              </w:rPr>
              <w:t>Negligible — absorbed in contingency</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2</w:t>
            </w:r>
          </w:p>
        </w:tc>
        <w:tc>
          <w:tcPr>
            <w:tcW w:type="dxa" w:w="2835"/>
            <w:tcBorders>
              <w:top w:val="single" w:sz="6" w:color="BFBFBF"/>
              <w:left w:val="single" w:sz="6" w:color="BFBFBF"/>
              <w:bottom w:val="single" w:sz="6" w:color="BFBFBF"/>
              <w:right w:val="single" w:sz="6" w:color="BFBFBF"/>
            </w:tcBorders>
          </w:tcPr>
          <w:p>
            <w:r/>
            <w:r>
              <w:rPr>
                <w:rFonts w:ascii="Arial" w:hAnsi="Arial"/>
                <w:sz w:val="20"/>
              </w:rPr>
              <w:t>Unlikely (10–30%)</w:t>
            </w:r>
          </w:p>
        </w:tc>
        <w:tc>
          <w:tcPr>
            <w:tcW w:type="dxa" w:w="4535"/>
            <w:tcBorders>
              <w:top w:val="single" w:sz="6" w:color="BFBFBF"/>
              <w:left w:val="single" w:sz="6" w:color="BFBFBF"/>
              <w:bottom w:val="single" w:sz="6" w:color="BFBFBF"/>
              <w:right w:val="single" w:sz="6" w:color="BFBFBF"/>
            </w:tcBorders>
          </w:tcPr>
          <w:p>
            <w:r/>
            <w:r>
              <w:rPr>
                <w:rFonts w:ascii="Arial" w:hAnsi="Arial"/>
                <w:sz w:val="20"/>
              </w:rPr>
              <w:t>Minor — slips one workstream by &lt;2 weeks</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3</w:t>
            </w:r>
          </w:p>
        </w:tc>
        <w:tc>
          <w:tcPr>
            <w:tcW w:type="dxa" w:w="2835"/>
            <w:tcBorders>
              <w:top w:val="single" w:sz="6" w:color="BFBFBF"/>
              <w:left w:val="single" w:sz="6" w:color="BFBFBF"/>
              <w:bottom w:val="single" w:sz="6" w:color="BFBFBF"/>
              <w:right w:val="single" w:sz="6" w:color="BFBFBF"/>
            </w:tcBorders>
          </w:tcPr>
          <w:p>
            <w:r/>
            <w:r>
              <w:rPr>
                <w:rFonts w:ascii="Arial" w:hAnsi="Arial"/>
                <w:sz w:val="20"/>
              </w:rPr>
              <w:t>Possible (30–60%)</w:t>
            </w:r>
          </w:p>
        </w:tc>
        <w:tc>
          <w:tcPr>
            <w:tcW w:type="dxa" w:w="4535"/>
            <w:tcBorders>
              <w:top w:val="single" w:sz="6" w:color="BFBFBF"/>
              <w:left w:val="single" w:sz="6" w:color="BFBFBF"/>
              <w:bottom w:val="single" w:sz="6" w:color="BFBFBF"/>
              <w:right w:val="single" w:sz="6" w:color="BFBFBF"/>
            </w:tcBorders>
          </w:tcPr>
          <w:p>
            <w:r/>
            <w:r>
              <w:rPr>
                <w:rFonts w:ascii="Arial" w:hAnsi="Arial"/>
                <w:sz w:val="20"/>
              </w:rPr>
              <w:t>Moderate — slips programme by &lt;4 weeks or &lt;5% cost</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4</w:t>
            </w:r>
          </w:p>
        </w:tc>
        <w:tc>
          <w:tcPr>
            <w:tcW w:type="dxa" w:w="2835"/>
            <w:tcBorders>
              <w:top w:val="single" w:sz="6" w:color="BFBFBF"/>
              <w:left w:val="single" w:sz="6" w:color="BFBFBF"/>
              <w:bottom w:val="single" w:sz="6" w:color="BFBFBF"/>
              <w:right w:val="single" w:sz="6" w:color="BFBFBF"/>
            </w:tcBorders>
          </w:tcPr>
          <w:p>
            <w:r/>
            <w:r>
              <w:rPr>
                <w:rFonts w:ascii="Arial" w:hAnsi="Arial"/>
                <w:sz w:val="20"/>
              </w:rPr>
              <w:t>Likely (60–85%)</w:t>
            </w:r>
          </w:p>
        </w:tc>
        <w:tc>
          <w:tcPr>
            <w:tcW w:type="dxa" w:w="4535"/>
            <w:tcBorders>
              <w:top w:val="single" w:sz="6" w:color="BFBFBF"/>
              <w:left w:val="single" w:sz="6" w:color="BFBFBF"/>
              <w:bottom w:val="single" w:sz="6" w:color="BFBFBF"/>
              <w:right w:val="single" w:sz="6" w:color="BFBFBF"/>
            </w:tcBorders>
          </w:tcPr>
          <w:p>
            <w:r/>
            <w:r>
              <w:rPr>
                <w:rFonts w:ascii="Arial" w:hAnsi="Arial"/>
                <w:sz w:val="20"/>
              </w:rPr>
              <w:t>Major — slips programme by 4–8 weeks or 5–15% cost</w:t>
            </w:r>
          </w:p>
        </w:tc>
      </w:tr>
      <w:tr>
        <w:tc>
          <w:tcPr>
            <w:tcW w:type="dxa" w:w="1134"/>
            <w:tcBorders>
              <w:top w:val="single" w:sz="6" w:color="BFBFBF"/>
              <w:left w:val="single" w:sz="6" w:color="BFBFBF"/>
              <w:bottom w:val="single" w:sz="6" w:color="BFBFBF"/>
              <w:right w:val="single" w:sz="6" w:color="BFBFBF"/>
            </w:tcBorders>
          </w:tcPr>
          <w:p>
            <w:r/>
            <w:r>
              <w:rPr>
                <w:rFonts w:ascii="Arial" w:hAnsi="Arial"/>
                <w:sz w:val="20"/>
              </w:rPr>
              <w:t>5</w:t>
            </w:r>
          </w:p>
        </w:tc>
        <w:tc>
          <w:tcPr>
            <w:tcW w:type="dxa" w:w="2835"/>
            <w:tcBorders>
              <w:top w:val="single" w:sz="6" w:color="BFBFBF"/>
              <w:left w:val="single" w:sz="6" w:color="BFBFBF"/>
              <w:bottom w:val="single" w:sz="6" w:color="BFBFBF"/>
              <w:right w:val="single" w:sz="6" w:color="BFBFBF"/>
            </w:tcBorders>
          </w:tcPr>
          <w:p>
            <w:r/>
            <w:r>
              <w:rPr>
                <w:rFonts w:ascii="Arial" w:hAnsi="Arial"/>
                <w:sz w:val="20"/>
              </w:rPr>
              <w:t>Almost certain (&gt;85%)</w:t>
            </w:r>
          </w:p>
        </w:tc>
        <w:tc>
          <w:tcPr>
            <w:tcW w:type="dxa" w:w="4535"/>
            <w:tcBorders>
              <w:top w:val="single" w:sz="6" w:color="BFBFBF"/>
              <w:left w:val="single" w:sz="6" w:color="BFBFBF"/>
              <w:bottom w:val="single" w:sz="6" w:color="BFBFBF"/>
              <w:right w:val="single" w:sz="6" w:color="BFBFBF"/>
            </w:tcBorders>
          </w:tcPr>
          <w:p>
            <w:r/>
            <w:r>
              <w:rPr>
                <w:rFonts w:ascii="Arial" w:hAnsi="Arial"/>
                <w:sz w:val="20"/>
              </w:rPr>
              <w:t>Severe — Gate-stopping, viability of programme threatened</w:t>
            </w:r>
          </w:p>
        </w:tc>
      </w:tr>
    </w:tbl>
    <w:p/>
    <w:p>
      <w:pPr>
        <w:pStyle w:val="Heading1"/>
      </w:pPr>
      <w:r>
        <w:t>4. Escalation routes</w:t>
      </w:r>
    </w:p>
    <w:tbl>
      <w:tblPr>
        <w:tblW w:type="auto" w:w="0"/>
        <w:tblLayout w:type="fixed"/>
        <w:tblLook w:firstColumn="1" w:firstRow="1" w:lastColumn="0" w:lastRow="0" w:noHBand="0" w:noVBand="1" w:val="04A0"/>
      </w:tblPr>
      <w:tblGrid>
        <w:gridCol w:w="2880"/>
        <w:gridCol w:w="2880"/>
        <w:gridCol w:w="2880"/>
      </w:tblGrid>
      <w:tr>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RAG / Trigger</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Forum</w:t>
            </w:r>
          </w:p>
        </w:tc>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Decision-maker</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Green (1–7)</w:t>
            </w:r>
          </w:p>
        </w:tc>
        <w:tc>
          <w:tcPr>
            <w:tcW w:type="dxa" w:w="2835"/>
            <w:tcBorders>
              <w:top w:val="single" w:sz="6" w:color="BFBFBF"/>
              <w:left w:val="single" w:sz="6" w:color="BFBFBF"/>
              <w:bottom w:val="single" w:sz="6" w:color="BFBFBF"/>
              <w:right w:val="single" w:sz="6" w:color="BFBFBF"/>
            </w:tcBorders>
          </w:tcPr>
          <w:p>
            <w:r/>
            <w:r>
              <w:rPr>
                <w:rFonts w:ascii="Arial" w:hAnsi="Arial"/>
                <w:sz w:val="20"/>
              </w:rPr>
              <w:t>Workstream stand-up</w:t>
            </w:r>
          </w:p>
        </w:tc>
        <w:tc>
          <w:tcPr>
            <w:tcW w:type="dxa" w:w="2835"/>
            <w:tcBorders>
              <w:top w:val="single" w:sz="6" w:color="BFBFBF"/>
              <w:left w:val="single" w:sz="6" w:color="BFBFBF"/>
              <w:bottom w:val="single" w:sz="6" w:color="BFBFBF"/>
              <w:right w:val="single" w:sz="6" w:color="BFBFBF"/>
            </w:tcBorders>
          </w:tcPr>
          <w:p>
            <w:r/>
            <w:r>
              <w:rPr>
                <w:rFonts w:ascii="Arial" w:hAnsi="Arial"/>
                <w:sz w:val="20"/>
              </w:rPr>
              <w:t>Workstream Lead</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Amber (8–14)</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Steering Committee — monthly</w:t>
            </w:r>
          </w:p>
        </w:tc>
        <w:tc>
          <w:tcPr>
            <w:tcW w:type="dxa" w:w="2835"/>
            <w:tcBorders>
              <w:top w:val="single" w:sz="6" w:color="BFBFBF"/>
              <w:left w:val="single" w:sz="6" w:color="BFBFBF"/>
              <w:bottom w:val="single" w:sz="6" w:color="BFBFBF"/>
              <w:right w:val="single" w:sz="6" w:color="BFBFBF"/>
            </w:tcBorders>
          </w:tcPr>
          <w:p>
            <w:r/>
            <w:r>
              <w:rPr>
                <w:rFonts w:ascii="Arial" w:hAnsi="Arial"/>
                <w:sz w:val="20"/>
              </w:rPr>
              <w:t>Programme Manager (with SteerCo)</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Red (15–25)</w:t>
            </w:r>
          </w:p>
        </w:tc>
        <w:tc>
          <w:tcPr>
            <w:tcW w:type="dxa" w:w="2835"/>
            <w:tcBorders>
              <w:top w:val="single" w:sz="6" w:color="BFBFBF"/>
              <w:left w:val="single" w:sz="6" w:color="BFBFBF"/>
              <w:bottom w:val="single" w:sz="6" w:color="BFBFBF"/>
              <w:right w:val="single" w:sz="6" w:color="BFBFBF"/>
            </w:tcBorders>
          </w:tcPr>
          <w:p>
            <w:r/>
            <w:r>
              <w:rPr>
                <w:rFonts w:ascii="Arial" w:hAnsi="Arial"/>
                <w:sz w:val="20"/>
              </w:rPr>
              <w:t>Steering Committee — next slot, or extraordinary</w:t>
            </w:r>
          </w:p>
        </w:tc>
        <w:tc>
          <w:tcPr>
            <w:tcW w:type="dxa" w:w="2835"/>
            <w:tcBorders>
              <w:top w:val="single" w:sz="6" w:color="BFBFBF"/>
              <w:left w:val="single" w:sz="6" w:color="BFBFBF"/>
              <w:bottom w:val="single" w:sz="6" w:color="BFBFBF"/>
              <w:right w:val="single" w:sz="6" w:color="BFBFBF"/>
            </w:tcBorders>
          </w:tcPr>
          <w:p>
            <w:r/>
            <w:r>
              <w:rPr>
                <w:rFonts w:ascii="Arial" w:hAnsi="Arial"/>
                <w:sz w:val="20"/>
              </w:rPr>
              <w:t>Executive Sponsor</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Gate-threatening</w:t>
            </w:r>
          </w:p>
        </w:tc>
        <w:tc>
          <w:tcPr>
            <w:tcW w:type="dxa" w:w="2835"/>
            <w:tcBorders>
              <w:top w:val="single" w:sz="6" w:color="BFBFBF"/>
              <w:left w:val="single" w:sz="6" w:color="BFBFBF"/>
              <w:bottom w:val="single" w:sz="6" w:color="BFBFBF"/>
              <w:right w:val="single" w:sz="6" w:color="BFBFBF"/>
            </w:tcBorders>
          </w:tcPr>
          <w:p>
            <w:r/>
            <w:r>
              <w:rPr>
                <w:rFonts w:ascii="Arial" w:hAnsi="Arial"/>
                <w:sz w:val="20"/>
              </w:rPr>
              <w:t>Executive Sponsor Group</w:t>
            </w:r>
          </w:p>
        </w:tc>
        <w:tc>
          <w:tcPr>
            <w:tcW w:type="dxa" w:w="2835"/>
            <w:tcBorders>
              <w:top w:val="single" w:sz="6" w:color="BFBFBF"/>
              <w:left w:val="single" w:sz="6" w:color="BFBFBF"/>
              <w:bottom w:val="single" w:sz="6" w:color="BFBFBF"/>
              <w:right w:val="single" w:sz="6" w:color="BFBFBF"/>
            </w:tcBorders>
          </w:tcPr>
          <w:p>
            <w:r/>
            <w:r>
              <w:rPr>
                <w:rFonts w:ascii="Arial" w:hAnsi="Arial"/>
                <w:sz w:val="20"/>
              </w:rPr>
              <w:t>Board (Sponsor proposes)</w:t>
            </w:r>
          </w:p>
        </w:tc>
      </w:tr>
    </w:tbl>
    <w:p/>
    <w:p>
      <w:pPr>
        <w:pStyle w:val="Heading1"/>
      </w:pPr>
      <w:r>
        <w:t>5. Roles</w:t>
      </w:r>
    </w:p>
    <w:tbl>
      <w:tblPr>
        <w:tblW w:type="auto" w:w="0"/>
        <w:tblLayout w:type="fixed"/>
        <w:tblLook w:firstColumn="1" w:firstRow="1" w:lastColumn="0" w:lastRow="0" w:noHBand="0" w:noVBand="1" w:val="04A0"/>
      </w:tblPr>
      <w:tblGrid>
        <w:gridCol w:w="4320"/>
        <w:gridCol w:w="4320"/>
      </w:tblGrid>
      <w:tr>
        <w:tc>
          <w:tcPr>
            <w:tcW w:type="dxa" w:w="2835"/>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Role</w:t>
            </w:r>
          </w:p>
        </w:tc>
        <w:tc>
          <w:tcPr>
            <w:tcW w:type="dxa" w:w="5669"/>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Responsibility</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Risk Owner (named)</w:t>
            </w:r>
          </w:p>
        </w:tc>
        <w:tc>
          <w:tcPr>
            <w:tcW w:type="dxa" w:w="5669"/>
            <w:tcBorders>
              <w:top w:val="single" w:sz="6" w:color="BFBFBF"/>
              <w:left w:val="single" w:sz="6" w:color="BFBFBF"/>
              <w:bottom w:val="single" w:sz="6" w:color="BFBFBF"/>
              <w:right w:val="single" w:sz="6" w:color="BFBFBF"/>
            </w:tcBorders>
          </w:tcPr>
          <w:p>
            <w:r/>
            <w:r>
              <w:rPr>
                <w:rFonts w:ascii="Arial" w:hAnsi="Arial"/>
                <w:sz w:val="20"/>
              </w:rPr>
              <w:t>Owns mitigation; updates weekly; closes when complete</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Programme Manager</w:t>
            </w:r>
          </w:p>
        </w:tc>
        <w:tc>
          <w:tcPr>
            <w:tcW w:type="dxa" w:w="5669"/>
            <w:tcBorders>
              <w:top w:val="single" w:sz="6" w:color="BFBFBF"/>
              <w:left w:val="single" w:sz="6" w:color="BFBFBF"/>
              <w:bottom w:val="single" w:sz="6" w:color="BFBFBF"/>
              <w:right w:val="single" w:sz="6" w:color="BFBFBF"/>
            </w:tcBorders>
          </w:tcPr>
          <w:p>
            <w:r/>
            <w:r>
              <w:rPr>
                <w:rFonts w:ascii="Arial" w:hAnsi="Arial"/>
                <w:sz w:val="20"/>
              </w:rPr>
              <w:t>Aggregates, challenges scoring, owns SteerCo Top 10 view</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Steering Committee</w:t>
            </w:r>
          </w:p>
        </w:tc>
        <w:tc>
          <w:tcPr>
            <w:tcW w:type="dxa" w:w="5669"/>
            <w:tcBorders>
              <w:top w:val="single" w:sz="6" w:color="BFBFBF"/>
              <w:left w:val="single" w:sz="6" w:color="BFBFBF"/>
              <w:bottom w:val="single" w:sz="6" w:color="BFBFBF"/>
              <w:right w:val="single" w:sz="6" w:color="BFBFBF"/>
            </w:tcBorders>
          </w:tcPr>
          <w:p>
            <w:r/>
            <w:r>
              <w:rPr>
                <w:rFonts w:ascii="Arial" w:hAnsi="Arial"/>
                <w:sz w:val="20"/>
              </w:rPr>
              <w:t>Reviews Top 10 monthly; approves response on Red risks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Executive Sponsor</w:t>
            </w:r>
          </w:p>
        </w:tc>
        <w:tc>
          <w:tcPr>
            <w:tcW w:type="dxa" w:w="5669"/>
            <w:tcBorders>
              <w:top w:val="single" w:sz="6" w:color="BFBFBF"/>
              <w:left w:val="single" w:sz="6" w:color="BFBFBF"/>
              <w:bottom w:val="single" w:sz="6" w:color="BFBFBF"/>
              <w:right w:val="single" w:sz="6" w:color="BFBFBF"/>
            </w:tcBorders>
          </w:tcPr>
          <w:p>
            <w:r/>
            <w:r>
              <w:rPr>
                <w:rFonts w:ascii="Arial" w:hAnsi="Arial"/>
                <w:sz w:val="20"/>
              </w:rPr>
              <w:t>Owns escalation to Board for gate-threatening risks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Business Architect</w:t>
            </w:r>
          </w:p>
        </w:tc>
        <w:tc>
          <w:tcPr>
            <w:tcW w:type="dxa" w:w="5669"/>
            <w:tcBorders>
              <w:top w:val="single" w:sz="6" w:color="BFBFBF"/>
              <w:left w:val="single" w:sz="6" w:color="BFBFBF"/>
              <w:bottom w:val="single" w:sz="6" w:color="BFBFBF"/>
              <w:right w:val="single" w:sz="6" w:color="BFBFBF"/>
            </w:tcBorders>
          </w:tcPr>
          <w:p>
            <w:r/>
            <w:r>
              <w:rPr>
                <w:rFonts w:ascii="Arial" w:hAnsi="Arial"/>
                <w:sz w:val="20"/>
              </w:rPr>
              <w:t>Subject-matter input on solution and data risks</w:t>
            </w:r>
          </w:p>
        </w:tc>
      </w:tr>
      <w:tr>
        <w:tc>
          <w:tcPr>
            <w:tcW w:type="dxa" w:w="2835"/>
            <w:tcBorders>
              <w:top w:val="single" w:sz="6" w:color="BFBFBF"/>
              <w:left w:val="single" w:sz="6" w:color="BFBFBF"/>
              <w:bottom w:val="single" w:sz="6" w:color="BFBFBF"/>
              <w:right w:val="single" w:sz="6" w:color="BFBFBF"/>
            </w:tcBorders>
          </w:tcPr>
          <w:p>
            <w:r/>
            <w:r>
              <w:rPr>
                <w:rFonts w:ascii="Arial" w:hAnsi="Arial"/>
                <w:sz w:val="20"/>
              </w:rPr>
              <w:t>SI Programme Director</w:t>
            </w:r>
          </w:p>
        </w:tc>
        <w:tc>
          <w:tcPr>
            <w:tcW w:type="dxa" w:w="5669"/>
            <w:tcBorders>
              <w:top w:val="single" w:sz="6" w:color="BFBFBF"/>
              <w:left w:val="single" w:sz="6" w:color="BFBFBF"/>
              <w:bottom w:val="single" w:sz="6" w:color="BFBFBF"/>
              <w:right w:val="single" w:sz="6" w:color="BFBFBF"/>
            </w:tcBorders>
          </w:tcPr>
          <w:p>
            <w:r/>
            <w:r>
              <w:rPr>
                <w:rFonts w:ascii="Arial" w:hAnsi="Arial"/>
                <w:sz w:val="20"/>
              </w:rPr>
              <w:t>Co-owns SI-side risks and joint mitigations</w:t>
            </w:r>
          </w:p>
        </w:tc>
      </w:tr>
    </w:tbl>
    <w:p/>
    <w:p>
      <w:pPr>
        <w:pStyle w:val="Heading1"/>
      </w:pPr>
      <w:r>
        <w:t>6. Tolerance levels</w:t>
      </w:r>
    </w:p>
    <w:p>
      <w:r>
        <w:rPr>
          <w:rFonts w:ascii="Arial" w:hAnsi="Arial"/>
          <w:b w:val="0"/>
          <w:i w:val="0"/>
          <w:sz w:val="22"/>
        </w:rPr>
        <w:t>The programme operates with the following tolerance band (set at Programme Setup &amp; Mobilisation (S10) Charter):</w:t>
      </w:r>
    </w:p>
    <w:p>
      <w:pPr>
        <w:pStyle w:val="ListBullet"/>
      </w:pPr>
      <w:r>
        <w:rPr>
          <w:rFonts w:ascii="Arial" w:hAnsi="Arial"/>
          <w:sz w:val="22"/>
        </w:rPr>
        <w:t>Cost: ±10% of S12 FBC. Forecast outside tolerance → ESG decision</w:t>
      </w:r>
    </w:p>
    <w:p>
      <w:pPr>
        <w:pStyle w:val="ListBullet"/>
      </w:pPr>
      <w:r>
        <w:rPr>
          <w:rFonts w:ascii="Arial" w:hAnsi="Arial"/>
          <w:sz w:val="22"/>
        </w:rPr>
        <w:t>Schedule: ±2 weeks against the published end-stage milestone. Greater slip → ESG decision</w:t>
      </w:r>
    </w:p>
    <w:p>
      <w:pPr>
        <w:pStyle w:val="ListBullet"/>
      </w:pPr>
      <w:r>
        <w:rPr>
          <w:rFonts w:ascii="Arial" w:hAnsi="Arial"/>
          <w:sz w:val="22"/>
        </w:rPr>
        <w:t>Scope: Any change &gt;5% of build effort → ESG decision</w:t>
      </w:r>
    </w:p>
    <w:p>
      <w:pPr>
        <w:pStyle w:val="ListBullet"/>
      </w:pPr>
      <w:r>
        <w:rPr>
          <w:rFonts w:ascii="Arial" w:hAnsi="Arial"/>
          <w:sz w:val="22"/>
        </w:rPr>
        <w:t>Benefits: Forecast benefit reduction &gt;10% → ESG decision</w:t>
      </w:r>
    </w:p>
    <w:p>
      <w:pPr>
        <w:pStyle w:val="Heading1"/>
      </w:pPr>
      <w:r>
        <w:t>7. Reporting</w:t>
      </w:r>
    </w:p>
    <w:p>
      <w:r>
        <w:rPr>
          <w:rFonts w:ascii="Arial" w:hAnsi="Arial"/>
          <w:b w:val="0"/>
          <w:i w:val="0"/>
          <w:sz w:val="22"/>
        </w:rPr>
        <w:t>Weekly: workstream Top 5 risks at standup. Monthly: SteerCo Top 10 view; trend chart; new / closed / changed since last month. At every gate: full Red and Amber risk list.</w:t>
      </w:r>
    </w:p>
    <w:sectPr w:rsidR="00FC693F" w:rsidRPr="0006063C" w:rsidSect="00034616">
      <w:headerReference w:type="default" r:id="rId9"/>
      <w:headerReference w:type="first" r:id="rId10"/>
      <w:headerReference w:type="even" r:id="rId11"/>
      <w:footerReference w:type="default" r:id="rId12"/>
      <w:footerReference w:type="first" r:id="rId13"/>
      <w:footerReference w:type="even"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rial" w:hAnsi="Arial"/>
      <w:b/>
      <w:bCs/>
      <w:color w:val="1E2761"/>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Arial" w:hAnsi="Arial"/>
      <w:b/>
      <w:bCs/>
      <w:color w:val="1E2761"/>
      <w:sz w:val="28"/>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Arial" w:hAnsi="Arial"/>
      <w:b/>
      <w:bCs/>
      <w:color w:val="1E2761"/>
      <w:sz w:val="24"/>
    </w:rPr>
  </w:style>
  <w:style w:type="paragraph" w:styleId="Heading4">
    <w:name w:val="heading 4"/>
    <w:basedOn w:val="Normal"/>
    <w:next w:val="Normal"/>
    <w:link w:val="Heading4Char"/>
    <w:uiPriority w:val="9"/>
    <w:semiHidden/>
    <w:unhideWhenUsed/>
    <w:qFormat/>
    <w:rsid w:val="00FC693F"/>
    <w:pPr>
      <w:keepNext/>
      <w:keepLines/>
      <w:spacing w:before="280" w:after="120"/>
      <w:outlineLvl w:val="3"/>
    </w:pPr>
    <w:rPr>
      <w:rFonts w:asciiTheme="majorHAnsi" w:eastAsiaTheme="majorEastAsia" w:hAnsiTheme="majorHAnsi" w:cstheme="majorBidi" w:ascii="Arial" w:hAnsi="Arial"/>
      <w:b/>
      <w:bCs/>
      <w:i/>
      <w:iCs/>
      <w:color w:val="1E276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E2761"/>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