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b/>
          <w:bCs/>
          <w:color w:val="1F2A44"/>
          <w:sz w:val="44"/>
          <w:szCs w:val="44"/>
        </w:rPr>
        <w:t xml:space="preserve">ERP Vendor Comparison</w:t>
      </w:r>
    </w:p>
    <w:p>
      <w:pPr>
        <w:spacing w:after="120"/>
        <w:jc w:val="center"/>
      </w:pPr>
      <w:r>
        <w:rPr>
          <w:b/>
          <w:bCs/>
          <w:color w:val="1F2A44"/>
          <w:sz w:val="28"/>
          <w:szCs w:val="28"/>
        </w:rPr>
        <w:t>Tier 1 vs Tier 2 — Software Selection (S8) Selection Input</w:t>
      </w:r>
    </w:p>
    <w:p>
      <w:pPr>
        <w:spacing w:after="480"/>
        <w:jc w:val="center"/>
      </w:pPr>
      <w:r>
        <w:rPr>
          <w:i/>
          <w:iCs/>
          <w:color w:val="606B80"/>
          <w:sz w:val="22"/>
          <w:szCs w:val="22"/>
        </w:rPr>
        <w:t xml:space="preserve">Template and worked example. Refresh against current vendor data before use in a live Selection.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01B1B" w:sz="4"/>
              <w:left w:val="single" w:color="C01B1B" w:sz="24"/>
              <w:bottom w:val="single" w:color="C01B1B" w:sz="4"/>
              <w:right w:val="single" w:color="C01B1B" w:sz="4"/>
            </w:tcBorders>
            <w:shd w:fill="FDF2F2" w:val="clear"/>
            <w:tcMar>
              <w:top w:type="dxa" w:w="200"/>
              <w:left w:type="dxa" w:w="240"/>
              <w:bottom w:type="dxa" w:w="200"/>
              <w:right w:type="dxa" w:w="240"/>
            </w:tcMar>
          </w:tcPr>
          <w:p>
            <w:pPr>
              <w:spacing w:after="120"/>
            </w:pPr>
            <w:r>
              <w:rPr>
                <w:b/>
                <w:bCs/>
                <w:color w:val="C01B1B"/>
                <w:sz w:val="18"/>
                <w:szCs w:val="18"/>
              </w:rPr>
              <w:t xml:space="preserve">READ THIS FIRST — FRESHNESS WARNING</w:t>
            </w:r>
          </w:p>
          <w:p>
            <w:r>
              <w:rPr>
                <w:sz w:val="22"/>
                <w:szCs w:val="22"/>
              </w:rPr>
              <w:t>ERP vendor pricing, packaging and capability changes faster than this document does. The architectural patterns, ecosystem positioning and broad TCO shape captured here are stable; the specific numbers, current feature releases and vendor positioning statements are not. Before using this comparison in a live Selection, verify current information directly with the vendors via RFI (S7) and against the most recent Gartner Magic Quadrant, Forrester Wave and IDC MarketScape reports for the relevant ERP segment. Treat this document as a Method-level reference for what to compare and how to weigh the comparison — not as a substitute for current vendor data.</w:t>
            </w:r>
          </w:p>
        </w:tc>
      </w:tr>
    </w:tbl>
    <w:p>
      <w:pPr>
        <w:pStyle w:val="Heading1"/>
        <w:spacing w:after="180" w:before="360"/>
      </w:pPr>
      <w:r>
        <w:rPr>
          <w:b/>
          <w:bCs/>
          <w:color w:val="1F2A44"/>
          <w:sz w:val="32"/>
          <w:szCs w:val="32"/>
        </w:rPr>
        <w:t xml:space="preserve">1. Document Control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Version</w:t>
            </w:r>
          </w:p>
        </w:tc>
        <w:tc>
          <w:tcPr>
            <w:tcW w:type="dxa" w:w="68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1.0 — Initial template</w:t>
            </w:r>
          </w:p>
        </w:tc>
      </w:tr>
      <w:tr>
        <w:tc>
          <w:tcPr>
            <w:tcW w:type="dxa" w:w="22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Owner</w:t>
            </w:r>
          </w:p>
        </w:tc>
        <w:tc>
          <w:tcPr>
            <w:tcW w:type="dxa" w:w="68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Programme Manager / Business Architect (S8)</w:t>
            </w:r>
          </w:p>
        </w:tc>
      </w:tr>
      <w:tr>
        <w:tc>
          <w:tcPr>
            <w:tcW w:type="dxa" w:w="22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Method stage</w:t>
            </w:r>
          </w:p>
        </w:tc>
        <w:tc>
          <w:tcPr>
            <w:tcW w:type="dxa" w:w="68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S8 — Software Selection (input to scripted demos and scoring)</w:t>
            </w:r>
          </w:p>
        </w:tc>
      </w:tr>
      <w:tr>
        <w:tc>
          <w:tcPr>
            <w:tcW w:type="dxa" w:w="22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Audience</w:t>
            </w:r>
          </w:p>
        </w:tc>
        <w:tc>
          <w:tcPr>
            <w:tcW w:type="dxa" w:w="68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Programme team, Steering Committee, Executive Sponsor Group</w:t>
            </w:r>
          </w:p>
        </w:tc>
      </w:tr>
      <w:tr>
        <w:tc>
          <w:tcPr>
            <w:tcW w:type="dxa" w:w="22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Refresh cadence</w:t>
            </w:r>
          </w:p>
        </w:tc>
        <w:tc>
          <w:tcPr>
            <w:tcW w:type="dxa" w:w="68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Per engagement — vendor data refreshed at S7 RFI; comparison re-scored at S8</w:t>
            </w:r>
          </w:p>
        </w:tc>
      </w:tr>
      <w:tr>
        <w:tc>
          <w:tcPr>
            <w:tcW w:type="dxa" w:w="22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Knowledge basis</w:t>
            </w:r>
          </w:p>
        </w:tc>
        <w:tc>
          <w:tcPr>
            <w:tcW w:type="dxa" w:w="68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Author's working knowledge as at early 2025; verify current data via vendor RFI and analyst reports</w:t>
            </w:r>
          </w:p>
        </w:tc>
      </w:tr>
    </w:tbl>
    <w:p>
      <w:pPr>
        <w:pStyle w:val="Heading1"/>
        <w:spacing w:after="180" w:before="360"/>
      </w:pPr>
      <w:r>
        <w:rPr>
          <w:b/>
          <w:bCs/>
          <w:color w:val="1F2A44"/>
          <w:sz w:val="32"/>
          <w:szCs w:val="32"/>
        </w:rPr>
        <w:t xml:space="preserve">2. How to use this document</w:t>
      </w:r>
    </w:p>
    <w:p>
      <w:pPr>
        <w:spacing w:after="120" w:before="0"/>
      </w:pPr>
      <w:r>
        <w:t xml:space="preserve">This is a Selection-phase reference. It does three things:</w:t>
      </w:r>
    </w:p>
    <w:p>
      <w:pPr>
        <w:pStyle w:val="ListParagraph"/>
        <w:numPr>
          <w:ilvl w:val="0"/>
          <w:numId w:val="2"/>
        </w:numPr>
        <w:spacing w:after="80"/>
      </w:pPr>
      <w:r>
        <w:rPr>
          <w:sz w:val="22"/>
          <w:szCs w:val="22"/>
        </w:rPr>
        <w:t xml:space="preserve">Defines what "Tier 1" and "Tier 2" mean in the ERP market — useful framing for exec stakeholders who use the terms loosely</w:t>
      </w:r>
    </w:p>
    <w:p>
      <w:pPr>
        <w:pStyle w:val="ListParagraph"/>
        <w:numPr>
          <w:ilvl w:val="0"/>
          <w:numId w:val="2"/>
        </w:numPr>
        <w:spacing w:after="80"/>
      </w:pPr>
      <w:r>
        <w:rPr>
          <w:sz w:val="22"/>
          <w:szCs w:val="22"/>
        </w:rPr>
        <w:t xml:space="preserve">Provides comparison criteria that should appear in any RFI scorecard — professional services, system synergy, infrastructure, functional fit, cost per user, TCO</w:t>
      </w:r>
    </w:p>
    <w:p>
      <w:pPr>
        <w:pStyle w:val="ListParagraph"/>
        <w:numPr>
          <w:ilvl w:val="0"/>
          <w:numId w:val="2"/>
        </w:numPr>
        <w:spacing w:after="80"/>
      </w:pPr>
      <w:r>
        <w:rPr>
          <w:sz w:val="22"/>
          <w:szCs w:val="22"/>
        </w:rPr>
        <w:t xml:space="preserve">Gives a vendor-by-vendor profile for the major candidates, organised so that the strengths and weaknesses across the categories are explicit and comparable</w:t>
      </w:r>
    </w:p>
    <w:p>
      <w:pPr>
        <w:spacing w:after="120" w:before="0"/>
      </w:pPr>
      <w:r>
        <w:t>It does NOT decide between vendors for you. The Method's S8 selection runs scripted demos against scenarios drawn from the Benefits Map; this document feeds the scorecard for those demos but does not substitute for the demo itself. A vendor with strong scores here can still lose Selection if its demo against your specific scenarios falls short.</w:t>
      </w:r>
    </w:p>
    <w:p>
      <w:pPr>
        <w:spacing w:after="120" w:before="0"/>
      </w:pPr>
      <w:r>
        <w:t xml:space="preserve">The other thing this document does is force a conversation that often gets skipped. ERP markets reward incumbency — IT teams that know SAP recommend SAP, Microsoft shops drift to Dynamics, finance-led organisations recognise Oracle. That isn't always wrong, but it should be tested against the criteria here before the long-list narrows.</w:t>
      </w:r>
    </w:p>
    <w:p>
      <w:pPr>
        <w:pStyle w:val="Heading1"/>
        <w:spacing w:after="180" w:before="360"/>
      </w:pPr>
      <w:r>
        <w:rPr>
          <w:b/>
          <w:bCs/>
          <w:color w:val="1F2A44"/>
          <w:sz w:val="32"/>
          <w:szCs w:val="32"/>
        </w:rPr>
        <w:t xml:space="preserve">3. What "Tier" actually means</w:t>
      </w:r>
    </w:p>
    <w:p>
      <w:pPr>
        <w:spacing w:after="120" w:before="0"/>
      </w:pPr>
      <w:r>
        <w:t xml:space="preserve">"Tier 1" and "Tier 2" are widely used and loosely defined. Different analysts draw the line in different places, and individual vendors will position themselves wherever it suits. The pragmatic working definition for the Method is:</w:t>
      </w:r>
    </w:p>
    <w:p>
      <w:pPr>
        <w:pStyle w:val="Heading2"/>
        <w:spacing w:after="140" w:before="280"/>
      </w:pPr>
      <w:r>
        <w:rPr>
          <w:b/>
          <w:bCs/>
          <w:color w:val="1F2A44"/>
          <w:sz w:val="26"/>
          <w:szCs w:val="26"/>
        </w:rPr>
        <w:t xml:space="preserve">Tier 1 — Enterprise ERP</w:t>
      </w:r>
    </w:p>
    <w:p>
      <w:pPr>
        <w:pStyle w:val="ListParagraph"/>
        <w:numPr>
          <w:ilvl w:val="0"/>
          <w:numId w:val="3"/>
        </w:numPr>
        <w:spacing w:after="80"/>
      </w:pPr>
      <w:r>
        <w:rPr>
          <w:sz w:val="22"/>
          <w:szCs w:val="22"/>
        </w:rPr>
        <w:t xml:space="preserve">Designed for organisations with revenue &gt;£500m / &gt;5,000 employees as a typical fit, scaling up to global enterprises</w:t>
      </w:r>
    </w:p>
    <w:p>
      <w:pPr>
        <w:pStyle w:val="ListParagraph"/>
        <w:numPr>
          <w:ilvl w:val="0"/>
          <w:numId w:val="3"/>
        </w:numPr>
        <w:spacing w:after="80"/>
      </w:pPr>
      <w:r>
        <w:rPr>
          <w:sz w:val="22"/>
          <w:szCs w:val="22"/>
        </w:rPr>
        <w:t xml:space="preserve">Multi-entity, multi-currency, multi-language native — not bolted on</w:t>
      </w:r>
    </w:p>
    <w:p>
      <w:pPr>
        <w:pStyle w:val="ListParagraph"/>
        <w:numPr>
          <w:ilvl w:val="0"/>
          <w:numId w:val="3"/>
        </w:numPr>
        <w:spacing w:after="80"/>
      </w:pPr>
      <w:r>
        <w:rPr>
          <w:sz w:val="22"/>
          <w:szCs w:val="22"/>
        </w:rPr>
        <w:t xml:space="preserve">Process depth across all major ERP domains (Finance, SCM, Manufacturing, HR, CRM)</w:t>
      </w:r>
    </w:p>
    <w:p>
      <w:pPr>
        <w:pStyle w:val="ListParagraph"/>
        <w:numPr>
          <w:ilvl w:val="0"/>
          <w:numId w:val="3"/>
        </w:numPr>
        <w:spacing w:after="80"/>
      </w:pPr>
      <w:r>
        <w:rPr>
          <w:sz w:val="22"/>
          <w:szCs w:val="22"/>
        </w:rPr>
        <w:t xml:space="preserve">Ecosystem of large SI partners (Big 4, IBM, Accenture, Infosys, etc.)</w:t>
      </w:r>
    </w:p>
    <w:p>
      <w:pPr>
        <w:pStyle w:val="ListParagraph"/>
        <w:numPr>
          <w:ilvl w:val="0"/>
          <w:numId w:val="3"/>
        </w:numPr>
        <w:spacing w:after="80"/>
      </w:pPr>
      <w:r>
        <w:rPr>
          <w:sz w:val="22"/>
          <w:szCs w:val="22"/>
        </w:rPr>
        <w:t xml:space="preserve">Implementation typically 18–36+ months, total programme cost £10m+ for a sizeable scope</w:t>
      </w:r>
    </w:p>
    <w:p>
      <w:pPr>
        <w:pStyle w:val="ListParagraph"/>
        <w:numPr>
          <w:ilvl w:val="0"/>
          <w:numId w:val="3"/>
        </w:numPr>
        <w:spacing w:after="80"/>
      </w:pPr>
      <w:r>
        <w:rPr>
          <w:sz w:val="22"/>
          <w:szCs w:val="22"/>
        </w:rPr>
        <w:t xml:space="preserve">Examples: SAP S/4HANA, Oracle Cloud ERP (Fusion), Microsoft Dynamics 365 Finance &amp; Operations (the F&amp;O side, not Business Central)</w:t>
      </w:r>
    </w:p>
    <w:p>
      <w:pPr>
        <w:pStyle w:val="Heading2"/>
        <w:spacing w:after="140" w:before="280"/>
      </w:pPr>
      <w:r>
        <w:rPr>
          <w:b/>
          <w:bCs/>
          <w:color w:val="1F2A44"/>
          <w:sz w:val="26"/>
          <w:szCs w:val="26"/>
        </w:rPr>
        <w:t xml:space="preserve">Tier 2 — Mid-market ERP</w:t>
      </w:r>
    </w:p>
    <w:p>
      <w:pPr>
        <w:pStyle w:val="ListParagraph"/>
        <w:numPr>
          <w:ilvl w:val="0"/>
          <w:numId w:val="3"/>
        </w:numPr>
        <w:spacing w:after="80"/>
      </w:pPr>
      <w:r>
        <w:rPr>
          <w:sz w:val="22"/>
          <w:szCs w:val="22"/>
        </w:rPr>
        <w:t xml:space="preserve">Designed for organisations with revenue £50m–£500m / 200–5,000 employees as a typical fit</w:t>
      </w:r>
    </w:p>
    <w:p>
      <w:pPr>
        <w:pStyle w:val="ListParagraph"/>
        <w:numPr>
          <w:ilvl w:val="0"/>
          <w:numId w:val="3"/>
        </w:numPr>
        <w:spacing w:after="80"/>
      </w:pPr>
      <w:r>
        <w:rPr>
          <w:sz w:val="22"/>
          <w:szCs w:val="22"/>
        </w:rPr>
        <w:t xml:space="preserve">Multi-entity capable but typically simpler and less configurable in the global structures than Tier 1</w:t>
      </w:r>
    </w:p>
    <w:p>
      <w:pPr>
        <w:pStyle w:val="ListParagraph"/>
        <w:numPr>
          <w:ilvl w:val="0"/>
          <w:numId w:val="3"/>
        </w:numPr>
        <w:spacing w:after="80"/>
      </w:pPr>
      <w:r>
        <w:rPr>
          <w:sz w:val="22"/>
          <w:szCs w:val="22"/>
        </w:rPr>
        <w:t xml:space="preserve">Process depth varies by vendor — most have a strong domain and weaker areas</w:t>
      </w:r>
    </w:p>
    <w:p>
      <w:pPr>
        <w:pStyle w:val="ListParagraph"/>
        <w:numPr>
          <w:ilvl w:val="0"/>
          <w:numId w:val="3"/>
        </w:numPr>
        <w:spacing w:after="80"/>
      </w:pPr>
      <w:r>
        <w:rPr>
          <w:sz w:val="22"/>
          <w:szCs w:val="22"/>
        </w:rPr>
        <w:t xml:space="preserve">Ecosystem of smaller, often regional SI partners; some Big 4 presence at the upper end</w:t>
      </w:r>
    </w:p>
    <w:p>
      <w:pPr>
        <w:pStyle w:val="ListParagraph"/>
        <w:numPr>
          <w:ilvl w:val="0"/>
          <w:numId w:val="3"/>
        </w:numPr>
        <w:spacing w:after="80"/>
      </w:pPr>
      <w:r>
        <w:rPr>
          <w:sz w:val="22"/>
          <w:szCs w:val="22"/>
        </w:rPr>
        <w:t xml:space="preserve">Implementation typically 9–18 months, total programme cost £1m–£8m</w:t>
      </w:r>
    </w:p>
    <w:p>
      <w:pPr>
        <w:pStyle w:val="ListParagraph"/>
        <w:numPr>
          <w:ilvl w:val="0"/>
          <w:numId w:val="3"/>
        </w:numPr>
        <w:spacing w:after="80"/>
      </w:pPr>
      <w:r>
        <w:rPr>
          <w:sz w:val="22"/>
          <w:szCs w:val="22"/>
        </w:rPr>
        <w:t xml:space="preserve">Examples: NetSuite, Sage Intacct / Sage X3, Acumatica, IFS Cloud, Infor CloudSuite (the relevant industry variant), Epicor Kinetic, Microsoft Dynamics 365 Business Central, Workday Financial Management (Workday is HR-first but ERP-capable for services-led organisations)</w:t>
      </w:r>
    </w:p>
    <w:p>
      <w:pPr>
        <w:pStyle w:val="Heading2"/>
        <w:spacing w:after="140" w:before="280"/>
      </w:pPr>
      <w:r>
        <w:rPr>
          <w:b/>
          <w:bCs/>
          <w:color w:val="1F2A44"/>
          <w:sz w:val="26"/>
          <w:szCs w:val="26"/>
        </w:rPr>
        <w:t xml:space="preserve">The middle ground is real</w:t>
      </w:r>
    </w:p>
    <w:p>
      <w:pPr>
        <w:spacing w:after="120" w:before="0"/>
      </w:pPr>
      <w:r>
        <w:t xml:space="preserve">Several vendors deliberately straddle the Tiers. Workday is enterprise in HR, mid-market in financials. Microsoft has both F&amp;O (Tier 1) and Business Central (Tier 2) and the choice between them is a genuine architectural decision, not a packaging quirk. IFS and Infor sit in industry-vertical sweet spots that pull them up or down the Tier depending on industry fit. Don't over-index on the Tier label — it's a starting filter, not a destination.</w:t>
      </w:r>
    </w:p>
    <w:p>
      <w:r>
        <w:br w:type="page"/>
      </w:r>
    </w:p>
    <w:p>
      <w:pPr>
        <w:pStyle w:val="Heading1"/>
        <w:spacing w:after="180" w:before="360"/>
      </w:pPr>
      <w:r>
        <w:rPr>
          <w:b/>
          <w:bCs/>
          <w:color w:val="1F2A44"/>
          <w:sz w:val="32"/>
          <w:szCs w:val="32"/>
        </w:rPr>
        <w:t xml:space="preserve">4. Comparison categories</w:t>
      </w:r>
    </w:p>
    <w:p>
      <w:pPr>
        <w:spacing w:after="120" w:before="0"/>
      </w:pPr>
      <w:r>
        <w:t>Eight categories should appear in any S8 vendor scorecard. Weight them per the engagement's priorities — a manufacturing-heavy programme will weight system synergy and infrastructure higher; a services-led organisation will weight professional services and TCO higher.</w:t>
      </w:r>
    </w:p>
    <w:p>
      <w:pPr>
        <w:pStyle w:val="Heading2"/>
        <w:spacing w:after="140" w:before="280"/>
      </w:pPr>
      <w:r>
        <w:rPr>
          <w:b/>
          <w:bCs/>
          <w:color w:val="1F2A44"/>
          <w:sz w:val="26"/>
          <w:szCs w:val="26"/>
        </w:rPr>
        <w:t xml:space="preserve">4.1 Functional fit</w:t>
      </w:r>
    </w:p>
    <w:p>
      <w:pPr>
        <w:spacing w:after="120" w:before="0"/>
      </w:pPr>
      <w:r>
        <w:t>Coverage of the in-scope process streams identified in Market Engagement &amp; RFI (S7) against the Capability Heatmap. Score per process stream, not vendor-wide. The most common selection error is scoring "financial management" or "supply chain" as a single rating rather than per-process. A vendor can score 9/10 on procure-to-pay and 4/10 on order-to-cash even though both are "SCM".</w:t>
      </w:r>
    </w:p>
    <w:p>
      <w:pPr>
        <w:pStyle w:val="Heading2"/>
        <w:spacing w:after="140" w:before="280"/>
      </w:pPr>
      <w:r>
        <w:rPr>
          <w:b/>
          <w:bCs/>
          <w:color w:val="1F2A44"/>
          <w:sz w:val="26"/>
          <w:szCs w:val="26"/>
        </w:rPr>
        <w:t xml:space="preserve">4.2 System synergy / ecosystem</w:t>
      </w:r>
    </w:p>
    <w:p>
      <w:pPr>
        <w:spacing w:after="120" w:before="0"/>
      </w:pPr>
      <w:r>
        <w:t xml:space="preserve">How well the vendor's platform integrates with adjacent systems and what's available in the surrounding ecosystem — ISVs, third-party connectors, complementary modules, sister products from the same vendor. Microsoft's edge here is the Power Platform, Teams, Office, and the Azure ecosystem. SAP has the BTP (Business Technology Platform) and the Concur/Fieldglass/Ariba family. Oracle has its full stack including database, OCI and Fusion HCM. Workday has its own platform and a smaller ISV ecosystem. NetSuite has SuiteApps. Score what the engagement actually needs, not what looks impressive.</w:t>
      </w:r>
    </w:p>
    <w:p>
      <w:pPr>
        <w:pStyle w:val="Heading2"/>
        <w:spacing w:after="140" w:before="280"/>
      </w:pPr>
      <w:r>
        <w:rPr>
          <w:b/>
          <w:bCs/>
          <w:color w:val="1F2A44"/>
          <w:sz w:val="26"/>
          <w:szCs w:val="26"/>
        </w:rPr>
        <w:t xml:space="preserve">4.3 Infrastructure strengths and weaknesses</w:t>
      </w:r>
    </w:p>
    <w:p>
      <w:pPr>
        <w:spacing w:after="120" w:before="0"/>
      </w:pPr>
      <w:r>
        <w:t xml:space="preserve">Cloud architecture, data residency, scalability, performance characteristics under load, disaster recovery posture, security controls, integration architecture. Tier 1 vendors typically lead here, but Tier 2 cloud-native players (NetSuite, Workday, Acumatica) have caught up substantially. On-prem deployment options are still relevant for regulated industries — IFS and Epicor retain stronger on-prem stories than Oracle Fusion or Workday.</w:t>
      </w:r>
    </w:p>
    <w:p>
      <w:pPr>
        <w:pStyle w:val="Heading2"/>
        <w:spacing w:after="140" w:before="280"/>
      </w:pPr>
      <w:r>
        <w:rPr>
          <w:b/>
          <w:bCs/>
          <w:color w:val="1F2A44"/>
          <w:sz w:val="26"/>
          <w:szCs w:val="26"/>
        </w:rPr>
        <w:t xml:space="preserve">4.4 Professional services rating</w:t>
      </w:r>
    </w:p>
    <w:p>
      <w:pPr>
        <w:spacing w:after="120" w:before="0"/>
      </w:pPr>
      <w:r>
        <w:t xml:space="preserve">Quality of the SI partner ecosystem for that platform. This matters as much as the platform itself. A great platform with a weak SI partner pool delivers a worse outcome than a good platform with a strong SI partner pool. Score: how many credible SI partners exist in your geography, what their delivery track record is, what their day rates look like, whether they actually field senior people for your engagement size.</w:t>
      </w:r>
    </w:p>
    <w:p>
      <w:pPr>
        <w:pStyle w:val="Heading2"/>
        <w:spacing w:after="140" w:before="280"/>
      </w:pPr>
      <w:r>
        <w:rPr>
          <w:b/>
          <w:bCs/>
          <w:color w:val="1F2A44"/>
          <w:sz w:val="26"/>
          <w:szCs w:val="26"/>
        </w:rPr>
        <w:t xml:space="preserve">4.5 Cost per user</w:t>
      </w:r>
    </w:p>
    <w:p>
      <w:pPr>
        <w:spacing w:after="120" w:before="0"/>
      </w:pPr>
      <w:r>
        <w:t xml:space="preserve">Per-user subscription / licence cost. Easy number to compare but deceptive — "per-user" definitions vary (named user, concurrent user, full vs. limited access, role-based), and per-user costs are the smaller part of TCO.</w:t>
      </w:r>
    </w:p>
    <w:p>
      <w:pPr>
        <w:pStyle w:val="Heading2"/>
        <w:spacing w:after="140" w:before="280"/>
      </w:pPr>
      <w:r>
        <w:rPr>
          <w:b/>
          <w:bCs/>
          <w:color w:val="1F2A44"/>
          <w:sz w:val="26"/>
          <w:szCs w:val="26"/>
        </w:rPr>
        <w:t xml:space="preserve">4.6 Total cost of ownership (TCO)</w:t>
      </w:r>
    </w:p>
    <w:p>
      <w:pPr>
        <w:spacing w:after="120" w:before="0"/>
      </w:pPr>
      <w:r>
        <w:t xml:space="preserve">The number that matters. Includes: software licence/subscription over typical 5-year horizon, implementation cost, infrastructure cost (hosting, integration platforms), internal effort, change management cost, ongoing support and BAU cost. See section 7 for worked examples. The interesting variation isn't between Tier 1 and Tier 2 — it's that within each Tier, two vendors with similar list pricing can have wildly different TCO once implementation effort and customisation needs are factored.</w:t>
      </w:r>
    </w:p>
    <w:p>
      <w:pPr>
        <w:pStyle w:val="Heading2"/>
        <w:spacing w:after="140" w:before="280"/>
      </w:pPr>
      <w:r>
        <w:rPr>
          <w:b/>
          <w:bCs/>
          <w:color w:val="1F2A44"/>
          <w:sz w:val="26"/>
          <w:szCs w:val="26"/>
        </w:rPr>
        <w:t xml:space="preserve">4.7 Industry fit</w:t>
      </w:r>
    </w:p>
    <w:p>
      <w:pPr>
        <w:spacing w:after="120" w:before="0"/>
      </w:pPr>
      <w:r>
        <w:t xml:space="preserve">How tailored the platform is to your industry. SAP S/4HANA leads in heavy manufacturing, process industries, automotive supply chain. Oracle leads in pharma, public sector, large utilities. Microsoft leads in services, retail, public sector mid-market. IFS leads in asset-intensive industries (defence, aerospace, oil &amp; gas). Infor leads in fashion, hospitality, healthcare. Vertical fit can override headline scoring.</w:t>
      </w:r>
    </w:p>
    <w:p>
      <w:pPr>
        <w:pStyle w:val="Heading2"/>
        <w:spacing w:after="140" w:before="280"/>
      </w:pPr>
      <w:r>
        <w:rPr>
          <w:b/>
          <w:bCs/>
          <w:color w:val="1F2A44"/>
          <w:sz w:val="26"/>
          <w:szCs w:val="26"/>
        </w:rPr>
        <w:t xml:space="preserve">4.8 Vendor risk</w:t>
      </w:r>
    </w:p>
    <w:p>
      <w:pPr>
        <w:spacing w:after="120" w:before="0"/>
      </w:pPr>
      <w:r>
        <w:t xml:space="preserve">Financial stability of the vendor, product roadmap clarity, end-of-life risk for the version you're buying, track record on big customer escalations, M&amp;A activity (NetSuite was acquired by Oracle in 2016 — that changed the strategic positioning materially). Don't ignore this; vendor instability is the failure mode that's hardest to recover from mid-engagement.</w:t>
      </w:r>
    </w:p>
    <w:p>
      <w:r>
        <w:br w:type="page"/>
      </w:r>
    </w:p>
    <w:p>
      <w:pPr>
        <w:pStyle w:val="Heading1"/>
        <w:spacing w:after="180" w:before="360"/>
      </w:pPr>
      <w:r>
        <w:rPr>
          <w:b/>
          <w:bCs/>
          <w:color w:val="1F2A44"/>
          <w:sz w:val="32"/>
          <w:szCs w:val="32"/>
        </w:rPr>
        <w:t xml:space="preserve">5. Vendor profiles — Tier 1</w:t>
      </w:r>
    </w:p>
    <w:p>
      <w:pPr>
        <w:pStyle w:val="Heading2"/>
        <w:spacing w:after="100" w:before="360"/>
      </w:pPr>
      <w:r>
        <w:rPr>
          <w:b/>
          <w:bCs/>
          <w:color w:val="1F2A44"/>
          <w:sz w:val="26"/>
          <w:szCs w:val="26"/>
        </w:rPr>
        <w:t xml:space="preserve">SAP S/4HANA</w:t>
      </w:r>
    </w:p>
    <w:p>
      <w:pPr>
        <w:spacing w:after="140"/>
      </w:pPr>
      <w:r>
        <w:rPr>
          <w:i/>
          <w:iCs/>
          <w:color w:val="606B80"/>
          <w:sz w:val="22"/>
          <w:szCs w:val="22"/>
        </w:rPr>
        <w:t xml:space="preserve">Tier 1 — enterprise process industries, manufacturing, finance-heavy organisations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Tier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Tier 1</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Best fit for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Large enterprise (&gt;£500m revenue), heavy manufacturing, process industries, complex multi-entity finance, organisations with existing SAP estate</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Functional strengths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Deep finance, sophisticated SCM and manufacturing, treasury, procurement, asset management. Industry-specific solutions (Industry Cloud) for verticals like utilities, oil &amp; gas, retail.</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Functional weaknesses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Customer engagement / CRM (typically paired with C/4HANA or Salesforce); HR (typically paired with SuccessFactors); analytics weaker than Microsoft's Power BI ecosystem without additional licensing.</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System synergy / ecosystem</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Strong: Business Technology Platform (BTP), SuccessFactors (HR), Concur (T&amp;E), Ariba (procurement), Fieldglass (services procurement), Qualtrics (XM), SAP Analytics Cloud. Most extensive ISV ecosystem in ERP. Weak point: integration with non-SAP estate often goes through middleware (typically MuleSoft or Boomi).</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Infrastructure</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S/4HANA Cloud (Public, Private), or on-prem. HANA in-memory database is the architectural foundation; performance very strong, but database licence is significant cost. Data residency available across major regions.</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Professional services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Largest SI partner pool — Big 4, Accenture, IBM, Capgemini, Infosys, Deloitte, plus regional specialists. Day rates among the highest in the market. Quality varies hugely; senior consultants commanding £1,200–£1,800/day are standard.</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Cost per user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Among the highest. Per-user costs scale by user type (Professional, Functional, Self-Service); typical Professional User in 2024–25 in the £150–250/month range.</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TCO (5-year)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High. For a £200m revenue mid-large enterprise, full S/4HANA implementation typically £15m–£40m+ across software, implementation, infrastructure, internal effort. Programmes &gt;£100m for global enterprises.</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Vendor risk</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Low — SAP is the largest ERP vendor by market share. Strategic clarity has been mixed (multiple S/4HANA migration paths, RISE with SAP introduces complexity). Maintenance support for ECC ends 2027 — many existing customers in migration.</w:t>
            </w:r>
          </w:p>
        </w:tc>
      </w:tr>
    </w:tbl>
    <w:p>
      <w:pPr>
        <w:pStyle w:val="Heading2"/>
        <w:spacing w:after="100" w:before="360"/>
      </w:pPr>
      <w:r>
        <w:rPr>
          <w:b/>
          <w:bCs/>
          <w:color w:val="1F2A44"/>
          <w:sz w:val="26"/>
          <w:szCs w:val="26"/>
        </w:rPr>
        <w:t xml:space="preserve">Oracle Cloud ERP (Fusion Applications)</w:t>
      </w:r>
    </w:p>
    <w:p>
      <w:pPr>
        <w:spacing w:after="140"/>
      </w:pPr>
      <w:r>
        <w:rPr>
          <w:i/>
          <w:iCs/>
          <w:color w:val="606B80"/>
          <w:sz w:val="22"/>
          <w:szCs w:val="22"/>
        </w:rPr>
        <w:t xml:space="preserve">Tier 1 — large enterprise, services and pharma-heavy industries, organisations with existing Oracle DB estate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Tier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Tier 1</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Best fit for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Large enterprise, services-led organisations, pharma, financial services, public sector. Strong fit where Oracle Database is already strategic.</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Functional strengths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Finance very strong, particularly multi-entity consolidation. Project Management (PPM) leading. HCM (was Taleo / PeopleSoft / Fusion HCM merger) is genuinely Tier 1. EPM Cloud strong for planning.</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Functional weaknesses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Manufacturing weaker than SAP (despite acquisitions); SCM has improved but not the depth of S/4HANA. Customer Experience (CX) modules less mature than Microsoft Dynamics or Salesforce.</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System synergy / ecosystem</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Strong within the Oracle stack — OCI (Oracle Cloud Infrastructure), Fusion HCM, Fusion EPM, Oracle Analytics Cloud. Smaller ISV ecosystem than SAP. Integration with non-Oracle stack typically requires Oracle Integration Cloud (OIC) or third-party middleware.</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Infrastructure</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Cloud-only for Fusion (no on-prem). OCI is competitive on performance and price. Quarterly mandatory updates — less control than SAP private cloud, more control than NetSuite.</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Professional services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Large SI partner pool — Big 4, Accenture, Infosys, IBM, plus Oracle's own consulting arm. Quality variable. Day rates similar to SAP at the top end. Smaller pool than SAP at the regional/mid-tier specialist level.</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Cost per user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Per-employee licensing model — pricing scales with employee count rather than user count for many modules. Comparable to SAP at enterprise scale.</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TCO (5-year)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High. Comparable to SAP for similar scope. Implementation effort can be lower than S/4HANA for greenfield deployments due to cleaner Fusion architecture.</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Vendor risk</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Low — Oracle is large, profitable, financially stable. Strategic direction clear (Cloud first, OCI growth). Some customer-side concern about audit aggressiveness on legacy licences during migration.</w:t>
            </w:r>
          </w:p>
        </w:tc>
      </w:tr>
    </w:tbl>
    <w:p>
      <w:pPr>
        <w:pStyle w:val="Heading2"/>
        <w:spacing w:after="100" w:before="360"/>
      </w:pPr>
      <w:r>
        <w:rPr>
          <w:b/>
          <w:bCs/>
          <w:color w:val="1F2A44"/>
          <w:sz w:val="26"/>
          <w:szCs w:val="26"/>
        </w:rPr>
        <w:t xml:space="preserve">Microsoft Dynamics 365 Finance &amp; Operations (F&amp;O)</w:t>
      </w:r>
    </w:p>
    <w:p>
      <w:pPr>
        <w:spacing w:after="140"/>
      </w:pPr>
      <w:r>
        <w:rPr>
          <w:i/>
          <w:iCs/>
          <w:color w:val="606B80"/>
          <w:sz w:val="22"/>
          <w:szCs w:val="22"/>
        </w:rPr>
        <w:t xml:space="preserve">Tier 1 — mid-large enterprise, organisations with existing Microsoft estate, services-heavy and retail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Tier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Tier 1 (the F&amp;O side, not Business Central)</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Best fit for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Large mid-market to enterprise, organisations standardised on Microsoft (Azure, M365, Power Platform), services-heavy organisations, retail, manufacturing of moderate complexity. Strong fit for organisations wanting Tier 1 finance with native Power Platform integration.</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Functional strengths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Finance strong; Project Operations integrates well with project-led services delivery; manufacturing capable across discrete and process; native Power BI analytics; Customer Engagement (CE) side complementary for CRM/Field Service. Power Platform extensibility is a genuine differentiator.</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Functional weaknesses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Heavy process industries / heavy manufacturing not the best fit (SAP wins here). Asset management weaker than IFS. HCM in F&amp;O is rudimentary — most customers pair with separate HRIS.</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System synergy / ecosystem</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Excellent — Power Platform (Power Apps, Power Automate, Power BI, Power Pages), M365, Teams, Azure, Dataverse, Copilot. ISV ecosystem on AppSource is strong and growing. Integration with non-MS estate via Power Platform connectors is class-leading.</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Infrastructure</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Cloud-only on Azure. Quarterly update cadence — less customer control than SAP private cloud, but Microsoft handles infrastructure entirely. Strong global Azure presence.</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Professional services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Large SI partner pool — Avanade (Microsoft + Accenture JV), sa.global, Sikich, plus other UK Microsoft Dynamics partners and regional specialists. Day rates lower than SAP/Oracle at equivalent grade by 10–20%. Quality variable, with strong senior partners but a deeper bench at junior level than SAP/Oracle.</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Cost per user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Per-user model (Full User, Activity User, Team Member). Full Users typical 2024–25 around £150–200/month. Substantially cheaper than SAP/Oracle equivalents.</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TCO (5-year)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Mid to high. For a £200m enterprise, F&amp;O programme typically £8m–£25m including software, implementation, infrastructure (Azure consumption), internal effort. Generally 20–30% lower TCO than equivalent SAP/Oracle deployments at the same scope.</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Vendor risk</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Low — Microsoft stable, ERP roadmap clear, Power Platform investment substantial. Pace of change is fast — both an asset (new capability) and a risk (frequent regression).</w:t>
            </w:r>
          </w:p>
        </w:tc>
      </w:tr>
    </w:tbl>
    <w:p>
      <w:r>
        <w:br w:type="page"/>
      </w:r>
    </w:p>
    <w:p>
      <w:pPr>
        <w:pStyle w:val="Heading1"/>
        <w:spacing w:after="180" w:before="360"/>
      </w:pPr>
      <w:r>
        <w:rPr>
          <w:b/>
          <w:bCs/>
          <w:color w:val="1F2A44"/>
          <w:sz w:val="32"/>
          <w:szCs w:val="32"/>
        </w:rPr>
        <w:t xml:space="preserve">6. Vendor profiles — Tier 2</w:t>
      </w:r>
    </w:p>
    <w:p>
      <w:pPr>
        <w:pStyle w:val="Heading2"/>
        <w:spacing w:after="100" w:before="360"/>
      </w:pPr>
      <w:r>
        <w:rPr>
          <w:b/>
          <w:bCs/>
          <w:color w:val="1F2A44"/>
          <w:sz w:val="26"/>
          <w:szCs w:val="26"/>
        </w:rPr>
        <w:t xml:space="preserve">NetSuite (Oracle NetSuite)</w:t>
      </w:r>
    </w:p>
    <w:p>
      <w:pPr>
        <w:spacing w:after="140"/>
      </w:pPr>
      <w:r>
        <w:rPr>
          <w:i/>
          <w:iCs/>
          <w:color w:val="606B80"/>
          <w:sz w:val="22"/>
          <w:szCs w:val="22"/>
        </w:rPr>
        <w:t xml:space="preserve">Tier 2 — services-led mid-market, finance-first organisations, multi-entity holding companies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Tier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Tier 2</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Best fit for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£50m–£500m revenue, services and software companies, holding companies with multiple entities, organisations needing strong cloud-native finance with moderate operations complexity</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Functional strengths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Finance strong, multi-entity consolidation native and well-implemented, project accounting, services automation (PSA), straightforward CRM. Reporting and analytics native and accessible without separate licence.</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Functional weaknesses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Manufacturing weaker than mid-market specialists (Acumatica, Infor, Epicor); SCM functional but not deep; HCM minimal. Customisation is via SuiteScript/SuiteCloud — capable but creates upgrade burden.</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System synergy / ecosystem</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SuiteApps marketplace is decent. Integration with non-NetSuite via SuiteTalk web services or third-party iPaaS (Boomi, Celigo). Owned by Oracle since 2016 — closer alignment with Oracle stack but functional independence preserved.</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Infrastructure</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Cloud-only, true multi-tenant. Bi-annual upgrades automatic; less customer control than F&amp;O but lower upgrade overhead. Performance generally good but degrades under heavy concurrent load on free-tier infrastructure.</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Professional services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Solid mid-market SI pool — Sikich, Big Bang, RSM, Eide Bailly, plus NetSuite's own NetSuite Professional Services. Day rates 20–40% lower than Tier 1 SI rates. Quality concentrated in financial services and software industries.</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Cost per user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Per-user subscription, scales by user type (Full, Limited, Employee). Full Users 2024–25 around £100–150/month.</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TCO (5-year)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Lower than Tier 1. For a £100m revenue services company, NetSuite typically £1m–£4m for software + implementation. Implementation effort 6–12 months for moderate scope.</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Vendor risk</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Low — Oracle ownership provides financial backing. Some customer concern about gradual migration toward Fusion ERP for upmarket NetSuite customers; the strategic positioning vs. Fusion ERP is sometimes blurry.</w:t>
            </w:r>
          </w:p>
        </w:tc>
      </w:tr>
    </w:tbl>
    <w:p>
      <w:pPr>
        <w:pStyle w:val="Heading2"/>
        <w:spacing w:after="100" w:before="360"/>
      </w:pPr>
      <w:r>
        <w:rPr>
          <w:b/>
          <w:bCs/>
          <w:color w:val="1F2A44"/>
          <w:sz w:val="26"/>
          <w:szCs w:val="26"/>
        </w:rPr>
        <w:t xml:space="preserve">Microsoft Dynamics 365 Business Central</w:t>
      </w:r>
    </w:p>
    <w:p>
      <w:pPr>
        <w:spacing w:after="140"/>
      </w:pPr>
      <w:r>
        <w:rPr>
          <w:i/>
          <w:iCs/>
          <w:color w:val="606B80"/>
          <w:sz w:val="22"/>
          <w:szCs w:val="22"/>
        </w:rPr>
        <w:t xml:space="preserve">Tier 2 — small-to-mid-market, Microsoft-aligned organisations, organisations needing Dynamics economics not F&amp;O scale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Tier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Tier 2</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Best fit for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£10m–£200m revenue, Microsoft-aligned organisations, those needing tight Power Platform / M365 integration without F&amp;O scale or cost. Distribution, professional services, light manufacturing.</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Functional strengths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Finance solid for mid-market, distribution and supply chain capable, project accounting via Project Operations or partner extensions, Power Platform extensibility. Same Microsoft stack benefits as F&amp;O at lower price point.</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Functional weaknesses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Manufacturing limited to discrete and light process; consolidation across many entities less elegant than NetSuite at scale; HCM minimal. Heavy customisation pushes you toward F&amp;O.</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System synergy / ecosystem</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Same Microsoft ecosystem strengths as F&amp;O — Power Platform, Dataverse, M365, Teams. AppSource ISVs typically have BC-specific variants. Migration path to F&amp;O exists but is non-trivial.</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Infrastructure</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Cloud-only on Azure (BC SaaS), or on-prem (legacy NAV, fading). SaaS upgrades twice a year, customer can defer minor updates.</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Professional services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Very large SI partner pool — historically a NAV market with thousands of partners worldwide. Day rates lower than F&amp;O — typically 20–30% below F&amp;O rates. Quality very variable; pick partners carefully.</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Cost per user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Per-user, Premium / Essentials / Team Member tiers. Premium User 2024–25 around £75–100/month.</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TCO (5-year)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Low for the Tier 2 segment. For a £50m revenue distribution company, BC programme typically £400k–£1.5m for software + implementation.</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Vendor risk</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Low — Microsoft stability + large partner ecosystem. Risk is upgrade fatigue on the partner side: BC moves quickly and partners sometimes lag.</w:t>
            </w:r>
          </w:p>
        </w:tc>
      </w:tr>
    </w:tbl>
    <w:p>
      <w:pPr>
        <w:pStyle w:val="Heading2"/>
        <w:spacing w:after="100" w:before="360"/>
      </w:pPr>
      <w:r>
        <w:rPr>
          <w:b/>
          <w:bCs/>
          <w:color w:val="1F2A44"/>
          <w:sz w:val="26"/>
          <w:szCs w:val="26"/>
        </w:rPr>
        <w:t xml:space="preserve">IFS Cloud</w:t>
      </w:r>
    </w:p>
    <w:p>
      <w:pPr>
        <w:spacing w:after="140"/>
      </w:pPr>
      <w:r>
        <w:rPr>
          <w:i/>
          <w:iCs/>
          <w:color w:val="606B80"/>
          <w:sz w:val="22"/>
          <w:szCs w:val="22"/>
        </w:rPr>
        <w:t xml:space="preserve">Tier 2 (with Tier 1 ambitions in vertical) — asset-intensive industries, defence, aerospace, oil &amp; gas, services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Tier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Tier 2 broadly, Tier 1 in vertical</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Best fit for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Asset-intensive industries — aerospace, defence, oil &amp; gas, utilities, fleet operations. Services-led organisations with complex project delivery (engineering services, FSM-heavy). £50m–£1bn revenue typical.</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Functional strengths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Asset management leading in mid-market, field service management strong, project accounting and engineering project delivery class-leading, manufacturing capable across discrete and aerospace-style configure-to-order.</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Functional weaknesses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Pure financial management not as deep as NetSuite or Sage Intacct; CRM workable but not differentiated; HCM rudimentary. Outside the asset-intensive verticals it competes against generalists where it's not the obvious choice.</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System synergy / ecosystem</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Smaller ecosystem than the Microsoft / Oracle / SAP players. IFS owns most of the application stack so internal coherence is strong; external integration via IFS Connect or third-party iPaaS.</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Infrastructure</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Cloud (IFS Cloud) or on-prem; on-prem still actively supported, which matters for defence and regulated industries. Cloud architecture solid but smaller scale than the hyperscaler-backed competitors.</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Professional services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Specialised SI pool — IFS itself, Capgemini, Avanade, plus a strong regional partner base in Northern Europe, Middle East, Australia. Smaller pool than Tier 1 but quality concentrated in the relevant verticals. Day rates competitive.</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Cost per user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Per-user model, multiple licence types. Pricing typically 20–30% below SAP / Oracle equivalent for the same vertical depth.</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TCO (5-year)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Mid-market to upper-mid-market. £3m–£15m typical for a £200m revenue asset-intensive organisation.</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Vendor risk</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Mid — IFS is private equity backed (EQT majority), profitable, growing. Strategic direction clear in the vertical. Some risk of corporate change given PE ownership cycle.</w:t>
            </w:r>
          </w:p>
        </w:tc>
      </w:tr>
    </w:tbl>
    <w:p>
      <w:pPr>
        <w:pStyle w:val="Heading2"/>
        <w:spacing w:after="100" w:before="360"/>
      </w:pPr>
      <w:r>
        <w:rPr>
          <w:b/>
          <w:bCs/>
          <w:color w:val="1F2A44"/>
          <w:sz w:val="26"/>
          <w:szCs w:val="26"/>
        </w:rPr>
        <w:t xml:space="preserve">Sage Intacct / Sage X3</w:t>
      </w:r>
    </w:p>
    <w:p>
      <w:pPr>
        <w:spacing w:after="140"/>
      </w:pPr>
      <w:r>
        <w:rPr>
          <w:i/>
          <w:iCs/>
          <w:color w:val="606B80"/>
          <w:sz w:val="22"/>
          <w:szCs w:val="22"/>
        </w:rPr>
        <w:t xml:space="preserve">Tier 2 — finance-first mid-market (Intacct); manufacturing and distribution mid-market (X3)</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Tier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Tier 2</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Best fit for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Sage Intacct: services-led, non-profit, financial services, multi-entity finance up to £200m revenue. Sage X3: manufacturing and distribution mid-market £50m–£500m.</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Functional strengths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Intacct: best-in-class mid-market financials, strong multi-entity consolidation, dimensional accounting model is differentiator, AICPA-endorsed for finance teams. X3: solid manufacturing including process and discrete, multi-country tax handling.</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Functional weaknesses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Intacct: minimal beyond finance — no real ERP scope outside finance and project accounting. X3: ageing UX, slower innovation pace than competitors, partner ecosystem variable.</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System synergy / ecosystem</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Sage Marketplace decent, Salesforce integration native for Intacct (popular pairing). Both sit in a broader Sage portfolio (Sage 50, Sage 200, Sage HR/People) — that ecosystem is more about Sage's own product family than about a third-party ISV community.</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Infrastructure</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Cloud (both products). Intacct cloud-native from day one; X3 cloud and on-prem options.</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Professional services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Large mid-market SI pool, Intacct particularly well-served in services and non-profit. Day rates among the lowest in this comparison.</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Cost per user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Lower than competitors. Intacct typical Full User 2024–25 around £80–120/month. X3 pricing more bespoke per engagement.</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TCO (5-year)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Among the lowest in this comparison. £400k–£2m typical for a £100m services organisation on Intacct.</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Vendor risk</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Low — Sage is a long-established UK-listed software company. Strategic clarity around Intacct as growth product. X3 less certain — investment levels lower than competitors.</w:t>
            </w:r>
          </w:p>
        </w:tc>
      </w:tr>
    </w:tbl>
    <w:p>
      <w:pPr>
        <w:pStyle w:val="Heading2"/>
        <w:spacing w:after="100" w:before="360"/>
      </w:pPr>
      <w:r>
        <w:rPr>
          <w:b/>
          <w:bCs/>
          <w:color w:val="1F2A44"/>
          <w:sz w:val="26"/>
          <w:szCs w:val="26"/>
        </w:rPr>
        <w:t xml:space="preserve">Acumatica</w:t>
      </w:r>
    </w:p>
    <w:p>
      <w:pPr>
        <w:spacing w:after="140"/>
      </w:pPr>
      <w:r>
        <w:rPr>
          <w:i/>
          <w:iCs/>
          <w:color w:val="606B80"/>
          <w:sz w:val="22"/>
          <w:szCs w:val="22"/>
        </w:rPr>
        <w:t xml:space="preserve">Tier 2 — modern cloud-native ERP, distribution, light manufacturing, project-led services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Tier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Tier 2</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Best fit for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£20m–£300m revenue, distribution-heavy, light manufacturing, project-led services. Strong choice for organisations wanting modern cloud-native ERP without Tier 1 cost. Particularly popular in North America.</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Functional strengths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Modern UX, modern API architecture, native multi-entity, project accounting, distribution, field service. Pricing model differentiator — resource-based not user-based, so adding users doesn't add cost.</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Functional weaknesses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Manufacturing capable but not deep for complex configure-to-order; HCM minimal; smaller ecosystem of ISVs than Microsoft or NetSuite.</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System synergy / ecosystem</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Smaller than Tier 1 and the Microsoft / NetSuite Tier 2 leaders, but growing. Strong API-first architecture makes integration easier than older platforms.</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Infrastructure</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Cloud (SaaS or private), on-prem option remains. Resource-based pricing model is genuinely different — not licensing seats but consumption.</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Professional services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Smaller specialised SI pool — Acumatica VARs, plus regional integrators. Day rates competitive. Quality concentrated in distribution and services.</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Cost per user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Resource-based — no per-user fee. Total cost driven by transactions, data volume, modules. Differentiator for organisations with many casual users.</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TCO (5-year)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Among the lower-cost Tier 2 options. £500k–£2.5m typical for £100m revenue scope.</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Vendor risk</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Mid — Acumatica is private (EQT-owned). Smaller scale than Tier 1 vendors; strategic direction clear; potential exit / IPO at some point in the EQT cycle.</w:t>
            </w:r>
          </w:p>
        </w:tc>
      </w:tr>
    </w:tbl>
    <w:p>
      <w:pPr>
        <w:pStyle w:val="Heading2"/>
        <w:spacing w:after="100" w:before="360"/>
      </w:pPr>
      <w:r>
        <w:rPr>
          <w:b/>
          <w:bCs/>
          <w:color w:val="1F2A44"/>
          <w:sz w:val="26"/>
          <w:szCs w:val="26"/>
        </w:rPr>
        <w:t xml:space="preserve">Infor CloudSuite</w:t>
      </w:r>
    </w:p>
    <w:p>
      <w:pPr>
        <w:spacing w:after="140"/>
      </w:pPr>
      <w:r>
        <w:rPr>
          <w:i/>
          <w:iCs/>
          <w:color w:val="606B80"/>
          <w:sz w:val="22"/>
          <w:szCs w:val="22"/>
        </w:rPr>
        <w:t xml:space="preserve">Tier 2 (with strong vertical specialisations) — fashion, food, healthcare, hospitality, distribution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Tier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Tier 2 with vertical specialisation that goes Tier 1 in some industries</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Best fit for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Industry-specific deployments where Infor has a dedicated CloudSuite — fashion, food &amp; beverage, healthcare (Infor Lawson), hospitality, automotive aftermarket, distribution. £50m–£2bn revenue.</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Functional strengths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Vertical depth is the differentiator — CloudSuite Fashion knows seasonal cycles, CloudSuite Food knows lot tracking and recall, CloudSuite Healthcare came from Lawson and has deep HR for healthcare workforces. AI capabilities (Infor Coleman) integrated.</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Functional weaknesses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Cross-vertical fit weaker than the verticals — Infor outside its sweet spots competes against generalists where it's harder to differentiate. Customer Experience modules less developed than Microsoft / Oracle / Salesforce.</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System synergy / ecosystem</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Infor OS is the platform layer (integration, analytics, document management). Smaller ISV ecosystem than the major players. Owned by Koch Industries — long-term strategic stability.</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Infrastructure</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Cloud (AWS-hosted), on-prem available. Stable, well-engineered, but innovation pace mid-tier.</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Professional services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Specialised — Infor Consulting Services, plus partners with vertical specialisation. Day rates competitive. Industry-trained partners are the key value.</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Cost per user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Per-user, with industry CloudSuite bundles. Pricing typically below SAP / Oracle equivalents for similar functional depth.</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TCO (5-year)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Mid-range. £2m–£10m typical for a £200m revenue industry-specific deployment.</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Vendor risk</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Low to mid — Koch ownership provides stability; some perception that pace of innovation lags Microsoft / Oracle.</w:t>
            </w:r>
          </w:p>
        </w:tc>
      </w:tr>
    </w:tbl>
    <w:p>
      <w:pPr>
        <w:pStyle w:val="Heading2"/>
        <w:spacing w:after="100" w:before="360"/>
      </w:pPr>
      <w:r>
        <w:rPr>
          <w:b/>
          <w:bCs/>
          <w:color w:val="1F2A44"/>
          <w:sz w:val="26"/>
          <w:szCs w:val="26"/>
        </w:rPr>
        <w:t xml:space="preserve">Workday Financial Management</w:t>
      </w:r>
    </w:p>
    <w:p>
      <w:pPr>
        <w:spacing w:after="140"/>
      </w:pPr>
      <w:r>
        <w:rPr>
          <w:i/>
          <w:iCs/>
          <w:color w:val="606B80"/>
          <w:sz w:val="22"/>
          <w:szCs w:val="22"/>
        </w:rPr>
        <w:t xml:space="preserve">Tier 2 in financials (Tier 1 in HCM) — services-led organisations, organisations using Workday HCM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Tier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Tier 2 in financials, Tier 1 in HCM</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Best fit for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Services-led mid-large organisations, professional services firms, financial services, organisations already running Workday HCM. £200m–£5bn revenue typical.</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Functional strengths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Modern architecture, single data model across HCM and finance, reporting and analytics native, project services strong. UX modern and broadly liked. Excellent for services-heavy organisations where HR-finance alignment matters.</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Functional weaknesses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Manufacturing not the use case — virtually no inventory or production management. Distribution similarly out of scope. Workday is a finance + HR platform, not a full ERP for industries with physical products.</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System synergy / ecosystem</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Workday's own ecosystem (HCM, Adaptive Planning, Workday Studio for integration). Smaller ISV ecosystem than the major ERP players. Integration via Workday APIs strong.</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Infrastructure</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Cloud-only true multi-tenant. Strong global reach, regular updates.</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Professional services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Large pool — Big 4, Accenture, IBM, Workday Professional Services. Day rates Tier 1 level for Workday-certified consultants.</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Cost per user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Per-employee model (not per-user). Full pricing typically £150–250 per employee per month for combined Financial + HCM.</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TCO (5-year)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Mid-to-high. Combined HCM + Financials typically £5m–£25m for £500m revenue services organisation. Higher than NetSuite for finance alone, but bundled HCM creates value.</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Vendor risk</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Low — Workday is large public company, profitable, strategic direction clear.</w:t>
            </w:r>
          </w:p>
        </w:tc>
      </w:tr>
    </w:tbl>
    <w:p>
      <w:pPr>
        <w:pStyle w:val="Heading2"/>
        <w:spacing w:after="100" w:before="360"/>
      </w:pPr>
      <w:r>
        <w:rPr>
          <w:b/>
          <w:bCs/>
          <w:color w:val="1F2A44"/>
          <w:sz w:val="26"/>
          <w:szCs w:val="26"/>
        </w:rPr>
        <w:t xml:space="preserve">Epicor Kinetic</w:t>
      </w:r>
    </w:p>
    <w:p>
      <w:pPr>
        <w:spacing w:after="140"/>
      </w:pPr>
      <w:r>
        <w:rPr>
          <w:i/>
          <w:iCs/>
          <w:color w:val="606B80"/>
          <w:sz w:val="22"/>
          <w:szCs w:val="22"/>
        </w:rPr>
        <w:t xml:space="preserve">Tier 2 — manufacturing-focused mid-market, particularly discrete and metals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Tier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Tier 2</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Best fit for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£20m–£500m revenue, discrete manufacturing (especially metals, machining, fabrication, industrial), distribution. Strong fit for manufacturing-heavy organisations that find Tier 1 overspecified.</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Functional strengths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Manufacturing depth — shop floor, MRP, configure-to-order, MES integration. Industry-specific overlays for metals, automotive supply, electronics. Modern UX (Kinetic vs. legacy ERP10).</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Functional weaknesses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Outside manufacturing the platform is functional but not differentiated. CRM workable, HCM minimal. Less adopted in services or non-manufacturing verticals.</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System synergy / ecosystem</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Smaller ecosystem; Epicor is more vertically focused than horizontally extensive. Integration via REST APIs and Epicor Application Studio.</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Infrastructure</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Cloud (Microsoft Azure-hosted), on-prem available. Modern Kinetic platform; legacy ERP10 still supported but EOL approaching.</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Professional services</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Specialised SI pool, particularly in manufacturing verticals. Day rates competitive.</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Cost per user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Per-user, modular pricing. Generally below NetSuite / Microsoft for comparable manufacturing scope.</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TCO (5-year)</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Lower than Tier 1, mid-range Tier 2. £1m–£5m typical for £100m manufacturing organisation.</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Vendor risk</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Mid — Epicor is private (KKR-owned). Stable, profitable, but smaller scale than Tier 1.</w:t>
            </w:r>
          </w:p>
        </w:tc>
      </w:tr>
    </w:tbl>
    <w:p>
      <w:r>
        <w:br w:type="page"/>
      </w:r>
    </w:p>
    <w:p>
      <w:pPr>
        <w:pStyle w:val="Heading1"/>
        <w:spacing w:after="180" w:before="360"/>
      </w:pPr>
      <w:r>
        <w:rPr>
          <w:b/>
          <w:bCs/>
          <w:color w:val="1F2A44"/>
          <w:sz w:val="32"/>
          <w:szCs w:val="32"/>
        </w:rPr>
        <w:t xml:space="preserve">7. Cost per user and TCO — worked examples</w:t>
      </w:r>
    </w:p>
    <w:p>
      <w:pPr>
        <w:spacing w:after="120" w:before="0"/>
      </w:pPr>
      <w:r>
        <w:t xml:space="preserve">These examples are illustrative and assume mid-2024 / early-2025 pricing for UK customers. Verify current pricing via vendor RFI before using in a live Selection.</w:t>
      </w:r>
    </w:p>
    <w:p>
      <w:pPr>
        <w:pStyle w:val="Heading2"/>
        <w:spacing w:after="140" w:before="280"/>
      </w:pPr>
      <w:r>
        <w:rPr>
          <w:b/>
          <w:bCs/>
          <w:color w:val="1F2A44"/>
          <w:sz w:val="26"/>
          <w:szCs w:val="26"/>
        </w:rPr>
        <w:t xml:space="preserve">7.1 Cost per user — like-for-like comparison</w:t>
      </w:r>
    </w:p>
    <w:p>
      <w:pPr>
        <w:spacing w:after="120" w:before="0"/>
      </w:pPr>
      <w:r>
        <w:t xml:space="preserve">Hypothetical: 200 full users, 5-year horizon, UK list pricing. Real engagements negotiate substantial discounts (commonly 20–40% off list).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1700"/>
        <w:gridCol w:w="1900"/>
        <w:gridCol w:w="1700"/>
        <w:gridCol w:w="1326"/>
      </w:tblGrid>
      <w:tr>
        <w:trPr>
          <w:tblHeader/>
        </w:trPr>
        <w:tc>
          <w:tcPr>
            <w:tcW w:type="dxa" w:w="24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Vendor</w:t>
            </w:r>
          </w:p>
        </w:tc>
        <w:tc>
          <w:tcPr>
            <w:tcW w:type="dxa" w:w="17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Per user / month (list)</w:t>
            </w:r>
          </w:p>
        </w:tc>
        <w:tc>
          <w:tcPr>
            <w:tcW w:type="dxa" w:w="19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Annual (200 users)</w:t>
            </w:r>
          </w:p>
        </w:tc>
        <w:tc>
          <w:tcPr>
            <w:tcW w:type="dxa" w:w="17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5-year (200 users)</w:t>
            </w:r>
          </w:p>
        </w:tc>
        <w:tc>
          <w:tcPr>
            <w:tcW w:type="dxa" w:w="13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Negotiable?</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SAP S/4HANA Professional User</w:t>
            </w:r>
          </w:p>
        </w:tc>
        <w:tc>
          <w:tcPr>
            <w:tcW w:type="dxa" w:w="17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£200</w:t>
            </w:r>
          </w:p>
        </w:tc>
        <w:tc>
          <w:tcPr>
            <w:tcW w:type="dxa" w:w="19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£480k</w:t>
            </w:r>
          </w:p>
        </w:tc>
        <w:tc>
          <w:tcPr>
            <w:tcW w:type="dxa" w:w="17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£2.4m</w:t>
            </w:r>
          </w:p>
        </w:tc>
        <w:tc>
          <w:tcPr>
            <w:tcW w:type="dxa" w:w="1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Yes (20–40%)</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Oracle Fusion ERP</w:t>
            </w:r>
          </w:p>
        </w:tc>
        <w:tc>
          <w:tcPr>
            <w:tcW w:type="dxa" w:w="17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£180</w:t>
            </w:r>
          </w:p>
        </w:tc>
        <w:tc>
          <w:tcPr>
            <w:tcW w:type="dxa" w:w="19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£432k</w:t>
            </w:r>
          </w:p>
        </w:tc>
        <w:tc>
          <w:tcPr>
            <w:tcW w:type="dxa" w:w="17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£2.16m</w:t>
            </w:r>
          </w:p>
        </w:tc>
        <w:tc>
          <w:tcPr>
            <w:tcW w:type="dxa" w:w="1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Yes (20–40%)</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Microsoft D365 F&amp;O Full User</w:t>
            </w:r>
          </w:p>
        </w:tc>
        <w:tc>
          <w:tcPr>
            <w:tcW w:type="dxa" w:w="17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£170</w:t>
            </w:r>
          </w:p>
        </w:tc>
        <w:tc>
          <w:tcPr>
            <w:tcW w:type="dxa" w:w="19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£408k</w:t>
            </w:r>
          </w:p>
        </w:tc>
        <w:tc>
          <w:tcPr>
            <w:tcW w:type="dxa" w:w="17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£2.04m</w:t>
            </w:r>
          </w:p>
        </w:tc>
        <w:tc>
          <w:tcPr>
            <w:tcW w:type="dxa" w:w="1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Yes (15–30%)</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Workday FIN + HCM</w:t>
            </w:r>
          </w:p>
        </w:tc>
        <w:tc>
          <w:tcPr>
            <w:tcW w:type="dxa" w:w="17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£200/employee</w:t>
            </w:r>
          </w:p>
        </w:tc>
        <w:tc>
          <w:tcPr>
            <w:tcW w:type="dxa" w:w="19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£480k</w:t>
            </w:r>
          </w:p>
        </w:tc>
        <w:tc>
          <w:tcPr>
            <w:tcW w:type="dxa" w:w="17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£2.4m</w:t>
            </w:r>
          </w:p>
        </w:tc>
        <w:tc>
          <w:tcPr>
            <w:tcW w:type="dxa" w:w="1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Yes (20–35%)</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NetSuite Full User</w:t>
            </w:r>
          </w:p>
        </w:tc>
        <w:tc>
          <w:tcPr>
            <w:tcW w:type="dxa" w:w="17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£120</w:t>
            </w:r>
          </w:p>
        </w:tc>
        <w:tc>
          <w:tcPr>
            <w:tcW w:type="dxa" w:w="19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£288k</w:t>
            </w:r>
          </w:p>
        </w:tc>
        <w:tc>
          <w:tcPr>
            <w:tcW w:type="dxa" w:w="17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£1.44m</w:t>
            </w:r>
          </w:p>
        </w:tc>
        <w:tc>
          <w:tcPr>
            <w:tcW w:type="dxa" w:w="1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Yes (15–30%)</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D365 Business Central Premium</w:t>
            </w:r>
          </w:p>
        </w:tc>
        <w:tc>
          <w:tcPr>
            <w:tcW w:type="dxa" w:w="17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£90</w:t>
            </w:r>
          </w:p>
        </w:tc>
        <w:tc>
          <w:tcPr>
            <w:tcW w:type="dxa" w:w="19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£216k</w:t>
            </w:r>
          </w:p>
        </w:tc>
        <w:tc>
          <w:tcPr>
            <w:tcW w:type="dxa" w:w="17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£1.08m</w:t>
            </w:r>
          </w:p>
        </w:tc>
        <w:tc>
          <w:tcPr>
            <w:tcW w:type="dxa" w:w="1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Limited (10–15%)</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Sage Intacct</w:t>
            </w:r>
          </w:p>
        </w:tc>
        <w:tc>
          <w:tcPr>
            <w:tcW w:type="dxa" w:w="17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£100</w:t>
            </w:r>
          </w:p>
        </w:tc>
        <w:tc>
          <w:tcPr>
            <w:tcW w:type="dxa" w:w="19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£240k</w:t>
            </w:r>
          </w:p>
        </w:tc>
        <w:tc>
          <w:tcPr>
            <w:tcW w:type="dxa" w:w="17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£1.2m</w:t>
            </w:r>
          </w:p>
        </w:tc>
        <w:tc>
          <w:tcPr>
            <w:tcW w:type="dxa" w:w="1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Yes (15–25%)</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Acumatica (resource-based)</w:t>
            </w:r>
          </w:p>
        </w:tc>
        <w:tc>
          <w:tcPr>
            <w:tcW w:type="dxa" w:w="17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Resource-based (n/a)</w:t>
            </w:r>
          </w:p>
        </w:tc>
        <w:tc>
          <w:tcPr>
            <w:tcW w:type="dxa" w:w="19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Variable</w:t>
            </w:r>
          </w:p>
        </w:tc>
        <w:tc>
          <w:tcPr>
            <w:tcW w:type="dxa" w:w="17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Often 30–50% lower</w:t>
            </w:r>
          </w:p>
        </w:tc>
        <w:tc>
          <w:tcPr>
            <w:tcW w:type="dxa" w:w="1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Yes</w:t>
            </w:r>
          </w:p>
        </w:tc>
      </w:tr>
    </w:tbl>
    <w:p>
      <w:pPr>
        <w:spacing w:after="120" w:before="0"/>
      </w:pPr>
      <w:r>
        <w:t xml:space="preserve">Reading this table — list prices are starting points, not landing prices. Discounting is heavy at Tier 1 and significant at Tier 2. The interesting pattern: per-user costs vary by ~3x across the comparison (£90 to £200), while TCO at the same scope often varies by ~6x once implementation is included. The licence cost is rarely the deciding factor.</w:t>
      </w:r>
    </w:p>
    <w:p>
      <w:pPr>
        <w:pStyle w:val="Heading2"/>
        <w:spacing w:after="140" w:before="280"/>
      </w:pPr>
      <w:r>
        <w:rPr>
          <w:b/>
          <w:bCs/>
          <w:color w:val="1F2A44"/>
          <w:sz w:val="26"/>
          <w:szCs w:val="26"/>
        </w:rPr>
        <w:t xml:space="preserve">7.2 TCO — worked example for a £200m revenue mid-large enterprise</w:t>
      </w:r>
    </w:p>
    <w:p>
      <w:pPr>
        <w:spacing w:after="120" w:before="0"/>
      </w:pPr>
      <w:r>
        <w:t xml:space="preserve">Hypothetical: £200m revenue manufacturer, 1,500 employees, 250 ERP users, 3 legal entities, finance + SCM + manufacturing in scope, 18-month implementation, 5-year TCO horizon.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1500"/>
        <w:gridCol w:w="1500"/>
        <w:gridCol w:w="1500"/>
        <w:gridCol w:w="2126"/>
      </w:tblGrid>
      <w:tr>
        <w:trPr>
          <w:tblHeader/>
        </w:trPr>
        <w:tc>
          <w:tcPr>
            <w:tcW w:type="dxa" w:w="24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Cost component</w:t>
            </w:r>
          </w:p>
        </w:tc>
        <w:tc>
          <w:tcPr>
            <w:tcW w:type="dxa" w:w="15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SAP S/4HANA</w:t>
            </w:r>
          </w:p>
        </w:tc>
        <w:tc>
          <w:tcPr>
            <w:tcW w:type="dxa" w:w="15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Oracle Fusion</w:t>
            </w:r>
          </w:p>
        </w:tc>
        <w:tc>
          <w:tcPr>
            <w:tcW w:type="dxa" w:w="15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D365 F&amp;O</w:t>
            </w:r>
          </w:p>
        </w:tc>
        <w:tc>
          <w:tcPr>
            <w:tcW w:type="dxa" w:w="21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NetSuite</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Software (5-year)</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£3.0m</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£2.7m</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£2.5m</w:t>
            </w:r>
          </w:p>
        </w:tc>
        <w:tc>
          <w:tcPr>
            <w:tcW w:type="dxa" w:w="2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£1.8m</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SI implementation</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£12m</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£10m</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£7m</w:t>
            </w:r>
          </w:p>
        </w:tc>
        <w:tc>
          <w:tcPr>
            <w:tcW w:type="dxa" w:w="2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£3.5m</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Infrastructure (5-year)</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£1.5m</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£1.0m</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£0.8m</w:t>
            </w:r>
          </w:p>
        </w:tc>
        <w:tc>
          <w:tcPr>
            <w:tcW w:type="dxa" w:w="2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£0.4m</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Internal effort</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£3.0m</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£2.5m</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£2.0m</w:t>
            </w:r>
          </w:p>
        </w:tc>
        <w:tc>
          <w:tcPr>
            <w:tcW w:type="dxa" w:w="2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£1.5m</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Change management</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£0.6m</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£0.5m</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£0.4m</w:t>
            </w:r>
          </w:p>
        </w:tc>
        <w:tc>
          <w:tcPr>
            <w:tcW w:type="dxa" w:w="2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£0.3m</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BAU support (5-year)</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£2.0m</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£1.5m</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£1.2m</w:t>
            </w:r>
          </w:p>
        </w:tc>
        <w:tc>
          <w:tcPr>
            <w:tcW w:type="dxa" w:w="2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£0.8m</w:t>
            </w:r>
          </w:p>
        </w:tc>
      </w:tr>
      <w:tr>
        <w:tc>
          <w:tcPr>
            <w:tcW w:type="dxa" w:w="24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TOTAL 5-YEAR TCO</w:t>
            </w:r>
          </w:p>
        </w:tc>
        <w:tc>
          <w:tcPr>
            <w:tcW w:type="dxa" w:w="15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£22.1m</w:t>
            </w:r>
          </w:p>
        </w:tc>
        <w:tc>
          <w:tcPr>
            <w:tcW w:type="dxa" w:w="15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£18.2m</w:t>
            </w:r>
          </w:p>
        </w:tc>
        <w:tc>
          <w:tcPr>
            <w:tcW w:type="dxa" w:w="15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£13.9m</w:t>
            </w:r>
          </w:p>
        </w:tc>
        <w:tc>
          <w:tcPr>
            <w:tcW w:type="dxa" w:w="2126"/>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£8.3m</w:t>
            </w:r>
          </w:p>
        </w:tc>
      </w:tr>
    </w:tbl>
    <w:p>
      <w:pPr>
        <w:spacing w:after="120" w:before="0"/>
      </w:pPr>
      <w:r>
        <w:t xml:space="preserve">Key reads from this worked example:</w:t>
      </w:r>
    </w:p>
    <w:p>
      <w:pPr>
        <w:pStyle w:val="ListParagraph"/>
        <w:numPr>
          <w:ilvl w:val="0"/>
          <w:numId w:val="3"/>
        </w:numPr>
        <w:spacing w:after="80"/>
      </w:pPr>
      <w:r>
        <w:rPr>
          <w:sz w:val="22"/>
          <w:szCs w:val="22"/>
        </w:rPr>
        <w:t xml:space="preserve">Software is rarely the largest cost — implementation is. SI cost dominates everywhere.</w:t>
      </w:r>
    </w:p>
    <w:p>
      <w:pPr>
        <w:pStyle w:val="ListParagraph"/>
        <w:numPr>
          <w:ilvl w:val="0"/>
          <w:numId w:val="3"/>
        </w:numPr>
        <w:spacing w:after="80"/>
      </w:pPr>
      <w:r>
        <w:rPr>
          <w:sz w:val="22"/>
          <w:szCs w:val="22"/>
        </w:rPr>
        <w:t xml:space="preserve">Tier 1 to Tier 2 isn't a 20% saving, it's typically a 30–50% saving on TCO at this scope.</w:t>
      </w:r>
    </w:p>
    <w:p>
      <w:pPr>
        <w:pStyle w:val="ListParagraph"/>
        <w:numPr>
          <w:ilvl w:val="0"/>
          <w:numId w:val="3"/>
        </w:numPr>
        <w:spacing w:after="80"/>
      </w:pPr>
      <w:r>
        <w:rPr>
          <w:sz w:val="22"/>
          <w:szCs w:val="22"/>
        </w:rPr>
        <w:t xml:space="preserve">Internal effort is significant and routinely under-estimated. £2–3m of internal time is typical for an 18-month enterprise programme.</w:t>
      </w:r>
    </w:p>
    <w:p>
      <w:pPr>
        <w:pStyle w:val="ListParagraph"/>
        <w:numPr>
          <w:ilvl w:val="0"/>
          <w:numId w:val="3"/>
        </w:numPr>
        <w:spacing w:after="80"/>
      </w:pPr>
      <w:r>
        <w:rPr>
          <w:sz w:val="22"/>
          <w:szCs w:val="22"/>
        </w:rPr>
        <w:t xml:space="preserve">BAU support over 5 years adds substantially — Tier 1 platforms cost more to run as well as to implement.</w:t>
      </w:r>
    </w:p>
    <w:p>
      <w:pPr>
        <w:pStyle w:val="Heading2"/>
        <w:spacing w:after="140" w:before="280"/>
      </w:pPr>
      <w:r>
        <w:rPr>
          <w:b/>
          <w:bCs/>
          <w:color w:val="1F2A44"/>
          <w:sz w:val="26"/>
          <w:szCs w:val="26"/>
        </w:rPr>
        <w:t xml:space="preserve">7.3 What drives TCO variation</w:t>
      </w:r>
    </w:p>
    <w:p>
      <w:pPr>
        <w:spacing w:after="120" w:before="0"/>
      </w:pPr>
      <w:r>
        <w:t xml:space="preserve">At the same headline scope, TCO varies widely. The drivers, in rough order of impact:</w:t>
      </w:r>
    </w:p>
    <w:p>
      <w:pPr>
        <w:pStyle w:val="ListParagraph"/>
        <w:numPr>
          <w:ilvl w:val="0"/>
          <w:numId w:val="2"/>
        </w:numPr>
        <w:spacing w:after="80"/>
      </w:pPr>
      <w:r>
        <w:rPr>
          <w:sz w:val="22"/>
          <w:szCs w:val="22"/>
        </w:rPr>
        <w:t xml:space="preserve">Implementation method and SI choice — same software, different SI, can be ±40% on implementation cost</w:t>
      </w:r>
    </w:p>
    <w:p>
      <w:pPr>
        <w:pStyle w:val="ListParagraph"/>
        <w:numPr>
          <w:ilvl w:val="0"/>
          <w:numId w:val="2"/>
        </w:numPr>
        <w:spacing w:after="80"/>
      </w:pPr>
      <w:r>
        <w:rPr>
          <w:sz w:val="22"/>
          <w:szCs w:val="22"/>
        </w:rPr>
        <w:t xml:space="preserve">Customisation level — every customisation is implementation cost now plus support cost forever. Sticking close to standard reduces TCO by 20–30% vs heavy customisation</w:t>
      </w:r>
    </w:p>
    <w:p>
      <w:pPr>
        <w:pStyle w:val="ListParagraph"/>
        <w:numPr>
          <w:ilvl w:val="0"/>
          <w:numId w:val="2"/>
        </w:numPr>
        <w:spacing w:after="80"/>
      </w:pPr>
      <w:r>
        <w:rPr>
          <w:sz w:val="22"/>
          <w:szCs w:val="22"/>
        </w:rPr>
        <w:t xml:space="preserve">Number of integrations — each in-scope integration adds typically £50–150k of implementation effort plus ongoing support</w:t>
      </w:r>
    </w:p>
    <w:p>
      <w:pPr>
        <w:pStyle w:val="ListParagraph"/>
        <w:numPr>
          <w:ilvl w:val="0"/>
          <w:numId w:val="2"/>
        </w:numPr>
        <w:spacing w:after="80"/>
      </w:pPr>
      <w:r>
        <w:rPr>
          <w:sz w:val="22"/>
          <w:szCs w:val="22"/>
        </w:rPr>
        <w:t xml:space="preserve">Number of legal entities — Tier 1 handles multi-entity at modest extra cost; Tier 2 sometimes requires duplication of effort</w:t>
      </w:r>
    </w:p>
    <w:p>
      <w:pPr>
        <w:pStyle w:val="ListParagraph"/>
        <w:numPr>
          <w:ilvl w:val="0"/>
          <w:numId w:val="2"/>
        </w:numPr>
        <w:spacing w:after="80"/>
      </w:pPr>
      <w:r>
        <w:rPr>
          <w:sz w:val="22"/>
          <w:szCs w:val="22"/>
        </w:rPr>
        <w:t xml:space="preserve">Data migration complexity — bad-quality source data adds 20–40% to data migration effort</w:t>
      </w:r>
    </w:p>
    <w:p>
      <w:pPr>
        <w:pStyle w:val="ListParagraph"/>
        <w:numPr>
          <w:ilvl w:val="0"/>
          <w:numId w:val="2"/>
        </w:numPr>
        <w:spacing w:after="80"/>
      </w:pPr>
      <w:r>
        <w:rPr>
          <w:sz w:val="22"/>
          <w:szCs w:val="22"/>
        </w:rPr>
        <w:t xml:space="preserve">Change management ambition — light touch (training only) is much cheaper than full transformation, but the benefits realisation differs accordingly</w:t>
      </w:r>
    </w:p>
    <w:p>
      <w:r>
        <w:br w:type="page"/>
      </w:r>
    </w:p>
    <w:p>
      <w:pPr>
        <w:pStyle w:val="Heading1"/>
        <w:spacing w:after="180" w:before="360"/>
      </w:pPr>
      <w:r>
        <w:rPr>
          <w:b/>
          <w:bCs/>
          <w:color w:val="1F2A44"/>
          <w:sz w:val="32"/>
          <w:szCs w:val="32"/>
        </w:rPr>
        <w:t xml:space="preserve">8. Comparison summary matrix</w:t>
      </w:r>
    </w:p>
    <w:p>
      <w:pPr>
        <w:spacing w:after="120" w:before="0"/>
      </w:pPr>
      <w:r>
        <w:t>This matrix is a starting filter only. The categorical scoring is intentionally crude — "S" (strong), "M" (mid), "W" (weak) — and intended to support shortlist decisions, not final selection. Final selection runs scripted demos at S8 against scenarios from your Benefits Map.</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850"/>
        <w:gridCol w:w="850"/>
        <w:gridCol w:w="850"/>
        <w:gridCol w:w="850"/>
        <w:gridCol w:w="850"/>
        <w:gridCol w:w="850"/>
        <w:gridCol w:w="850"/>
        <w:gridCol w:w="776"/>
      </w:tblGrid>
      <w:tr>
        <w:trPr>
          <w:tblHeader/>
        </w:trPr>
        <w:tc>
          <w:tcPr>
            <w:tcW w:type="dxa" w:w="22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Vendor</w:t>
            </w:r>
          </w:p>
        </w:tc>
        <w:tc>
          <w:tcPr>
            <w:tcW w:type="dxa" w:w="85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Functional</w:t>
            </w:r>
          </w:p>
        </w:tc>
        <w:tc>
          <w:tcPr>
            <w:tcW w:type="dxa" w:w="85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System synergy</w:t>
            </w:r>
          </w:p>
        </w:tc>
        <w:tc>
          <w:tcPr>
            <w:tcW w:type="dxa" w:w="85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Infrastructure</w:t>
            </w:r>
          </w:p>
        </w:tc>
        <w:tc>
          <w:tcPr>
            <w:tcW w:type="dxa" w:w="85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Prof services</w:t>
            </w:r>
          </w:p>
        </w:tc>
        <w:tc>
          <w:tcPr>
            <w:tcW w:type="dxa" w:w="85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Cost</w:t>
            </w:r>
          </w:p>
        </w:tc>
        <w:tc>
          <w:tcPr>
            <w:tcW w:type="dxa" w:w="85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TCO</w:t>
            </w:r>
          </w:p>
        </w:tc>
        <w:tc>
          <w:tcPr>
            <w:tcW w:type="dxa" w:w="85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Industry fit</w:t>
            </w:r>
          </w:p>
        </w:tc>
        <w:tc>
          <w:tcPr>
            <w:tcW w:type="dxa" w:w="77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Vendor risk</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20"/>
                <w:szCs w:val="20"/>
              </w:rPr>
              <w:t xml:space="preserve">SAP S/4HANA</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 (manufacturing)</w:t>
            </w:r>
          </w:p>
        </w:tc>
        <w:tc>
          <w:tcPr>
            <w:tcW w:type="dxa" w:w="77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Low</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20"/>
                <w:szCs w:val="20"/>
              </w:rPr>
              <w:t xml:space="preserve">Oracle Fusion ERP</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 (services / pharma)</w:t>
            </w:r>
          </w:p>
        </w:tc>
        <w:tc>
          <w:tcPr>
            <w:tcW w:type="dxa" w:w="77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Low</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20"/>
                <w:szCs w:val="20"/>
              </w:rPr>
              <w:t xml:space="preserve">MS Dynamics F&amp;O</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77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Low</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20"/>
                <w:szCs w:val="20"/>
              </w:rPr>
              <w:t xml:space="preserve">Workday FIN + HCM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 (no manufacturing)</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 (services)</w:t>
            </w:r>
          </w:p>
        </w:tc>
        <w:tc>
          <w:tcPr>
            <w:tcW w:type="dxa" w:w="77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Low</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20"/>
                <w:szCs w:val="20"/>
              </w:rPr>
              <w:t xml:space="preserve">NetSuite</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 (services / multi-entity)</w:t>
            </w:r>
          </w:p>
        </w:tc>
        <w:tc>
          <w:tcPr>
            <w:tcW w:type="dxa" w:w="77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Low</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20"/>
                <w:szCs w:val="20"/>
              </w:rPr>
              <w:t xml:space="preserve">MS Dynamics BC</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 (mid-market generalist)</w:t>
            </w:r>
          </w:p>
        </w:tc>
        <w:tc>
          <w:tcPr>
            <w:tcW w:type="dxa" w:w="77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Low</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20"/>
                <w:szCs w:val="20"/>
              </w:rPr>
              <w:t xml:space="preserve">IFS Cloud</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 (asset-intensive)</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 (asset-intensive)</w:t>
            </w:r>
          </w:p>
        </w:tc>
        <w:tc>
          <w:tcPr>
            <w:tcW w:type="dxa" w:w="77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Mid</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20"/>
                <w:szCs w:val="20"/>
              </w:rPr>
              <w:t xml:space="preserve">Sage Intacct</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 (finance only)</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 (services / non-profit)</w:t>
            </w:r>
          </w:p>
        </w:tc>
        <w:tc>
          <w:tcPr>
            <w:tcW w:type="dxa" w:w="77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Low</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20"/>
                <w:szCs w:val="20"/>
              </w:rPr>
              <w:t xml:space="preserve">Acumatica</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 (distribution)</w:t>
            </w:r>
          </w:p>
        </w:tc>
        <w:tc>
          <w:tcPr>
            <w:tcW w:type="dxa" w:w="77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Mid</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20"/>
                <w:szCs w:val="20"/>
              </w:rPr>
              <w:t xml:space="preserve">Infor CloudSuite</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 (in vertical)</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 (in vertical)</w:t>
            </w:r>
          </w:p>
        </w:tc>
        <w:tc>
          <w:tcPr>
            <w:tcW w:type="dxa" w:w="77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Low</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b/>
                <w:bCs/>
                <w:sz w:val="20"/>
                <w:szCs w:val="20"/>
              </w:rPr>
              <w:t xml:space="preserve">Epicor Kinetic</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 (manufacturing)</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w:t>
            </w:r>
          </w:p>
        </w:tc>
        <w:tc>
          <w:tcPr>
            <w:tcW w:type="dxa" w:w="85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 (discrete mfg)</w:t>
            </w:r>
          </w:p>
        </w:tc>
        <w:tc>
          <w:tcPr>
            <w:tcW w:type="dxa" w:w="77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Mid</w:t>
            </w:r>
          </w:p>
        </w:tc>
      </w:tr>
    </w:tbl>
    <w:p>
      <w:pPr>
        <w:pStyle w:val="Heading1"/>
        <w:spacing w:after="180" w:before="360"/>
      </w:pPr>
      <w:r>
        <w:rPr>
          <w:b/>
          <w:bCs/>
          <w:color w:val="1F2A44"/>
          <w:sz w:val="32"/>
          <w:szCs w:val="32"/>
        </w:rPr>
        <w:t xml:space="preserve">9. Recommendation framework</w:t>
      </w:r>
    </w:p>
    <w:p>
      <w:pPr>
        <w:spacing w:after="120" w:before="0"/>
      </w:pPr>
      <w:r>
        <w:t>Use this framework to translate the comparison into a shortlist for S8 demos:</w:t>
      </w:r>
    </w:p>
    <w:p>
      <w:pPr>
        <w:pStyle w:val="Heading2"/>
        <w:spacing w:after="140" w:before="280"/>
      </w:pPr>
      <w:r>
        <w:rPr>
          <w:b/>
          <w:bCs/>
          <w:color w:val="1F2A44"/>
          <w:sz w:val="26"/>
          <w:szCs w:val="26"/>
        </w:rPr>
        <w:t xml:space="preserve">9.1 Eliminate first, then choose</w:t>
      </w:r>
    </w:p>
    <w:p>
      <w:pPr>
        <w:spacing w:after="120" w:before="0"/>
      </w:pPr>
      <w:r>
        <w:t xml:space="preserve">Most shortlists are arrived at by addition ("who should we look at?"). Better to arrive at them by elimination — start with all 11 vendors above, eliminate against the engagement's hard constraints, then choose 3–5 from what's left.</w:t>
      </w:r>
    </w:p>
    <w:p>
      <w:pPr>
        <w:pStyle w:val="ListParagraph"/>
        <w:numPr>
          <w:ilvl w:val="0"/>
          <w:numId w:val="3"/>
        </w:numPr>
        <w:spacing w:after="80"/>
      </w:pPr>
      <w:r>
        <w:rPr>
          <w:sz w:val="22"/>
          <w:szCs w:val="22"/>
        </w:rPr>
        <w:t xml:space="preserve">Industry fit — eliminate vendors weak in your industry</w:t>
      </w:r>
    </w:p>
    <w:p>
      <w:pPr>
        <w:pStyle w:val="ListParagraph"/>
        <w:numPr>
          <w:ilvl w:val="0"/>
          <w:numId w:val="3"/>
        </w:numPr>
        <w:spacing w:after="80"/>
      </w:pPr>
      <w:r>
        <w:rPr>
          <w:sz w:val="22"/>
          <w:szCs w:val="22"/>
        </w:rPr>
        <w:t xml:space="preserve">Scale fit — eliminate Tier 1 if revenue/scope doesn't justify it; eliminate Tier 2 if scope is genuinely Tier 1</w:t>
      </w:r>
    </w:p>
    <w:p>
      <w:pPr>
        <w:pStyle w:val="ListParagraph"/>
        <w:numPr>
          <w:ilvl w:val="0"/>
          <w:numId w:val="3"/>
        </w:numPr>
        <w:spacing w:after="80"/>
      </w:pPr>
      <w:r>
        <w:rPr>
          <w:sz w:val="22"/>
          <w:szCs w:val="22"/>
        </w:rPr>
        <w:t xml:space="preserve">Existing platform — don't ignore Microsoft if you're a Microsoft shop, don't ignore Oracle if you're an Oracle DB shop. Equally, don't auto-include them if their fit is weak</w:t>
      </w:r>
    </w:p>
    <w:p>
      <w:pPr>
        <w:pStyle w:val="ListParagraph"/>
        <w:numPr>
          <w:ilvl w:val="0"/>
          <w:numId w:val="3"/>
        </w:numPr>
        <w:spacing w:after="80"/>
      </w:pPr>
      <w:r>
        <w:rPr>
          <w:sz w:val="22"/>
          <w:szCs w:val="22"/>
        </w:rPr>
        <w:t xml:space="preserve">Vendor risk — eliminate any with mid-to-high risk where the engagement is critical-path</w:t>
      </w:r>
    </w:p>
    <w:p>
      <w:pPr>
        <w:pStyle w:val="Heading2"/>
        <w:spacing w:after="140" w:before="280"/>
      </w:pPr>
      <w:r>
        <w:rPr>
          <w:b/>
          <w:bCs/>
          <w:color w:val="1F2A44"/>
          <w:sz w:val="26"/>
          <w:szCs w:val="26"/>
        </w:rPr>
        <w:t xml:space="preserve">9.2 Score the survivors</w:t>
      </w:r>
    </w:p>
    <w:p>
      <w:pPr>
        <w:spacing w:after="120" w:before="0"/>
      </w:pPr>
      <w:r>
        <w:t xml:space="preserve">Of the survivors, score against your weighted criteria. Weighting matters more than the categorical scores; for a manufacturing-heavy engagement, weight Functional fit and System Synergy highest. For a services-led engagement, weight Professional Services and TCO highest.</w:t>
      </w:r>
    </w:p>
    <w:p>
      <w:pPr>
        <w:pStyle w:val="Heading2"/>
        <w:spacing w:after="140" w:before="280"/>
      </w:pPr>
      <w:r>
        <w:rPr>
          <w:b/>
          <w:bCs/>
          <w:color w:val="1F2A44"/>
          <w:sz w:val="26"/>
          <w:szCs w:val="26"/>
        </w:rPr>
        <w:t xml:space="preserve">9.3 Demo the top three to five</w:t>
      </w:r>
    </w:p>
    <w:p>
      <w:pPr>
        <w:spacing w:after="120" w:before="0"/>
      </w:pPr>
      <w:r>
        <w:t>S8 demos validate the scorecard. A vendor scoring well here can still lose Selection if the demo against your scenarios falls short. Conversely, a vendor scoring lower can win Selection if the demo lands well — usually because the categorical scoring missed something specific to the engagement.</w:t>
      </w:r>
    </w:p>
    <w:p>
      <w:pPr>
        <w:pStyle w:val="Heading2"/>
        <w:spacing w:after="140" w:before="280"/>
      </w:pPr>
      <w:r>
        <w:rPr>
          <w:b/>
          <w:bCs/>
          <w:color w:val="1F2A44"/>
          <w:sz w:val="26"/>
          <w:szCs w:val="26"/>
        </w:rPr>
        <w:t xml:space="preserve">9.4 Don't ignore the SI in the choice</w:t>
      </w:r>
    </w:p>
    <w:p>
      <w:pPr>
        <w:spacing w:after="120" w:before="0"/>
      </w:pPr>
      <w:r>
        <w:t xml:space="preserve">The platform is half the decision; the SI partner is the other half. A great platform with a weak local SI partner is worse than a good platform with a strong local SI partner. Score the SI ecosystem in your geography, not the platform's global SI ecosystem.</w:t>
      </w:r>
    </w:p>
    <w:p>
      <w:r>
        <w:br w:type="page"/>
      </w:r>
    </w:p>
    <w:p>
      <w:pPr>
        <w:pStyle w:val="Heading1"/>
        <w:spacing w:after="180" w:before="360"/>
      </w:pPr>
      <w:r>
        <w:rPr>
          <w:b/>
          <w:bCs/>
          <w:color w:val="1F2A44"/>
          <w:sz w:val="32"/>
          <w:szCs w:val="32"/>
        </w:rPr>
        <w:t xml:space="preserve">10. Caveats and freshness notes</w:t>
      </w:r>
    </w:p>
    <w:p>
      <w:pPr>
        <w:pStyle w:val="Heading2"/>
        <w:spacing w:after="140" w:before="280"/>
      </w:pPr>
      <w:r>
        <w:rPr>
          <w:b/>
          <w:bCs/>
          <w:color w:val="1F2A44"/>
          <w:sz w:val="26"/>
          <w:szCs w:val="26"/>
        </w:rPr>
        <w:t xml:space="preserve">10.1 What goes stale</w:t>
      </w:r>
    </w:p>
    <w:p>
      <w:pPr>
        <w:pStyle w:val="ListParagraph"/>
        <w:numPr>
          <w:ilvl w:val="0"/>
          <w:numId w:val="3"/>
        </w:numPr>
        <w:spacing w:after="80"/>
      </w:pPr>
      <w:r>
        <w:rPr>
          <w:sz w:val="22"/>
          <w:szCs w:val="22"/>
        </w:rPr>
        <w:t xml:space="preserve">List prices — verify per vendor RFI</w:t>
      </w:r>
    </w:p>
    <w:p>
      <w:pPr>
        <w:pStyle w:val="ListParagraph"/>
        <w:numPr>
          <w:ilvl w:val="0"/>
          <w:numId w:val="3"/>
        </w:numPr>
        <w:spacing w:after="80"/>
      </w:pPr>
      <w:r>
        <w:rPr>
          <w:sz w:val="22"/>
          <w:szCs w:val="22"/>
        </w:rPr>
        <w:t xml:space="preserve">Specific feature releases — every vendor has a quarterly or twice-annual release cadence; some features change Tier positioning</w:t>
      </w:r>
    </w:p>
    <w:p>
      <w:pPr>
        <w:pStyle w:val="ListParagraph"/>
        <w:numPr>
          <w:ilvl w:val="0"/>
          <w:numId w:val="3"/>
        </w:numPr>
        <w:spacing w:after="80"/>
      </w:pPr>
      <w:r>
        <w:rPr>
          <w:sz w:val="22"/>
          <w:szCs w:val="22"/>
        </w:rPr>
        <w:t xml:space="preserve">M&amp;A activity — vendor ownership and strategic positioning can change. Recent: NetSuite (Oracle 2016), IFS (private equity rounds), Infor (Koch). Future M&amp;A is unpredictable</w:t>
      </w:r>
    </w:p>
    <w:p>
      <w:pPr>
        <w:pStyle w:val="ListParagraph"/>
        <w:numPr>
          <w:ilvl w:val="0"/>
          <w:numId w:val="3"/>
        </w:numPr>
        <w:spacing w:after="80"/>
      </w:pPr>
      <w:r>
        <w:rPr>
          <w:sz w:val="22"/>
          <w:szCs w:val="22"/>
        </w:rPr>
        <w:t xml:space="preserve">Analyst positions — Gartner Magic Quadrants and Forrester Waves shift annually</w:t>
      </w:r>
    </w:p>
    <w:p>
      <w:pPr>
        <w:pStyle w:val="Heading2"/>
        <w:spacing w:after="140" w:before="280"/>
      </w:pPr>
      <w:r>
        <w:rPr>
          <w:b/>
          <w:bCs/>
          <w:color w:val="1F2A44"/>
          <w:sz w:val="26"/>
          <w:szCs w:val="26"/>
        </w:rPr>
        <w:t xml:space="preserve">10.2 What stays stable</w:t>
      </w:r>
    </w:p>
    <w:p>
      <w:pPr>
        <w:pStyle w:val="ListParagraph"/>
        <w:numPr>
          <w:ilvl w:val="0"/>
          <w:numId w:val="3"/>
        </w:numPr>
        <w:spacing w:after="80"/>
      </w:pPr>
      <w:r>
        <w:rPr>
          <w:sz w:val="22"/>
          <w:szCs w:val="22"/>
        </w:rPr>
        <w:t xml:space="preserve">Architectural positioning — SAP's HANA-based architecture isn't going to change in our planning horizon</w:t>
      </w:r>
    </w:p>
    <w:p>
      <w:pPr>
        <w:pStyle w:val="ListParagraph"/>
        <w:numPr>
          <w:ilvl w:val="0"/>
          <w:numId w:val="3"/>
        </w:numPr>
        <w:spacing w:after="80"/>
      </w:pPr>
      <w:r>
        <w:rPr>
          <w:sz w:val="22"/>
          <w:szCs w:val="22"/>
        </w:rPr>
        <w:t xml:space="preserve">Industry sweet spots — IFS will remain the asset-intensive specialist; Sage Intacct will remain the finance-first mid-market specialist</w:t>
      </w:r>
    </w:p>
    <w:p>
      <w:pPr>
        <w:pStyle w:val="ListParagraph"/>
        <w:numPr>
          <w:ilvl w:val="0"/>
          <w:numId w:val="3"/>
        </w:numPr>
        <w:spacing w:after="80"/>
      </w:pPr>
      <w:r>
        <w:rPr>
          <w:sz w:val="22"/>
          <w:szCs w:val="22"/>
        </w:rPr>
        <w:t xml:space="preserve">Ecosystem patterns — Microsoft's Power Platform / Azure / M365 integration story is durable</w:t>
      </w:r>
    </w:p>
    <w:p>
      <w:pPr>
        <w:pStyle w:val="ListParagraph"/>
        <w:numPr>
          <w:ilvl w:val="0"/>
          <w:numId w:val="3"/>
        </w:numPr>
        <w:spacing w:after="80"/>
      </w:pPr>
      <w:r>
        <w:rPr>
          <w:sz w:val="22"/>
          <w:szCs w:val="22"/>
        </w:rPr>
        <w:t xml:space="preserve">TCO ranges — the rough multipliers between Tier 1 and Tier 2 don't move much</w:t>
      </w:r>
    </w:p>
    <w:p>
      <w:pPr>
        <w:pStyle w:val="Heading2"/>
        <w:spacing w:after="140" w:before="280"/>
      </w:pPr>
      <w:r>
        <w:rPr>
          <w:b/>
          <w:bCs/>
          <w:color w:val="1F2A44"/>
          <w:sz w:val="26"/>
          <w:szCs w:val="26"/>
        </w:rPr>
        <w:t xml:space="preserve">10.3 How to refresh this document for an engagement</w:t>
      </w:r>
    </w:p>
    <w:p>
      <w:pPr>
        <w:pStyle w:val="ListParagraph"/>
        <w:numPr>
          <w:ilvl w:val="0"/>
          <w:numId w:val="2"/>
        </w:numPr>
        <w:spacing w:after="80"/>
      </w:pPr>
      <w:r>
        <w:rPr>
          <w:sz w:val="22"/>
          <w:szCs w:val="22"/>
        </w:rPr>
        <w:t xml:space="preserve">Confirm vendor list against current Gartner Magic Quadrant for Cloud ERP for [your industry tier]</w:t>
      </w:r>
    </w:p>
    <w:p>
      <w:pPr>
        <w:pStyle w:val="ListParagraph"/>
        <w:numPr>
          <w:ilvl w:val="0"/>
          <w:numId w:val="2"/>
        </w:numPr>
        <w:spacing w:after="80"/>
      </w:pPr>
      <w:r>
        <w:rPr>
          <w:sz w:val="22"/>
          <w:szCs w:val="22"/>
        </w:rPr>
        <w:t>Issue S7 RFI requesting current pricing, current feature inventory, current named SI partners in your geography</w:t>
      </w:r>
    </w:p>
    <w:p>
      <w:pPr>
        <w:pStyle w:val="ListParagraph"/>
        <w:numPr>
          <w:ilvl w:val="0"/>
          <w:numId w:val="2"/>
        </w:numPr>
        <w:spacing w:after="80"/>
      </w:pPr>
      <w:r>
        <w:rPr>
          <w:sz w:val="22"/>
          <w:szCs w:val="22"/>
        </w:rPr>
        <w:t xml:space="preserve">Cross-reference against current customer reference calls — focus on customers in your industry and at your scale</w:t>
      </w:r>
    </w:p>
    <w:p>
      <w:pPr>
        <w:pStyle w:val="ListParagraph"/>
        <w:numPr>
          <w:ilvl w:val="0"/>
          <w:numId w:val="2"/>
        </w:numPr>
        <w:spacing w:after="80"/>
      </w:pPr>
      <w:r>
        <w:rPr>
          <w:sz w:val="22"/>
          <w:szCs w:val="22"/>
        </w:rPr>
        <w:t xml:space="preserve">Update the comparison matrix with engagement-specific weighting</w:t>
      </w:r>
    </w:p>
    <w:p>
      <w:pPr>
        <w:pStyle w:val="ListParagraph"/>
        <w:numPr>
          <w:ilvl w:val="0"/>
          <w:numId w:val="2"/>
        </w:numPr>
        <w:spacing w:after="80"/>
      </w:pPr>
      <w:r>
        <w:rPr>
          <w:sz w:val="22"/>
          <w:szCs w:val="22"/>
        </w:rPr>
        <w:t xml:space="preserve">Document the refresh in this document's version history before circulating</w:t>
      </w:r>
    </w:p>
    <w:p>
      <w:pPr>
        <w:pStyle w:val="Heading2"/>
        <w:spacing w:after="140" w:before="280"/>
      </w:pPr>
      <w:r>
        <w:rPr>
          <w:b/>
          <w:bCs/>
          <w:color w:val="1F2A44"/>
          <w:sz w:val="26"/>
          <w:szCs w:val="26"/>
        </w:rPr>
        <w:t xml:space="preserve">10.4 Information not in this document</w:t>
      </w:r>
    </w:p>
    <w:p>
      <w:pPr>
        <w:spacing w:after="120" w:before="0"/>
      </w:pPr>
      <w:r>
        <w:t xml:space="preserve">This document deliberately does not include:</w:t>
      </w:r>
    </w:p>
    <w:p>
      <w:pPr>
        <w:pStyle w:val="ListParagraph"/>
        <w:numPr>
          <w:ilvl w:val="0"/>
          <w:numId w:val="3"/>
        </w:numPr>
        <w:spacing w:after="80"/>
      </w:pPr>
      <w:r>
        <w:rPr>
          <w:sz w:val="22"/>
          <w:szCs w:val="22"/>
        </w:rPr>
        <w:t xml:space="preserve">Vendor positioning statements (those go stale fastest and are often marketing)</w:t>
      </w:r>
    </w:p>
    <w:p>
      <w:pPr>
        <w:pStyle w:val="ListParagraph"/>
        <w:numPr>
          <w:ilvl w:val="0"/>
          <w:numId w:val="3"/>
        </w:numPr>
        <w:spacing w:after="80"/>
      </w:pPr>
      <w:r>
        <w:rPr>
          <w:sz w:val="22"/>
          <w:szCs w:val="22"/>
        </w:rPr>
        <w:t xml:space="preserve">Rankings against named recent customer wins (similarly transient)</w:t>
      </w:r>
    </w:p>
    <w:p>
      <w:pPr>
        <w:pStyle w:val="ListParagraph"/>
        <w:numPr>
          <w:ilvl w:val="0"/>
          <w:numId w:val="3"/>
        </w:numPr>
        <w:spacing w:after="80"/>
      </w:pPr>
      <w:r>
        <w:rPr>
          <w:sz w:val="22"/>
          <w:szCs w:val="22"/>
        </w:rPr>
        <w:t>Detailed feature comparisons (need the engagement's specific requirements to be useful — that's Discovery (S11) Discovery work)</w:t>
      </w:r>
    </w:p>
    <w:p>
      <w:pPr>
        <w:pStyle w:val="ListParagraph"/>
        <w:numPr>
          <w:ilvl w:val="0"/>
          <w:numId w:val="3"/>
        </w:numPr>
        <w:spacing w:after="80"/>
      </w:pPr>
      <w:r>
        <w:rPr>
          <w:sz w:val="22"/>
          <w:szCs w:val="22"/>
        </w:rPr>
        <w:t>Specific demo scenarios (those are engagement-specific and live in the Demo Script Pack at S8)</w:t>
      </w:r>
    </w:p>
    <w:p>
      <w:pPr>
        <w:pStyle w:val="Heading1"/>
        <w:spacing w:after="180" w:before="360"/>
      </w:pPr>
      <w:r>
        <w:rPr>
          <w:b/>
          <w:bCs/>
          <w:color w:val="1F2A44"/>
          <w:sz w:val="32"/>
          <w:szCs w:val="32"/>
        </w:rPr>
        <w:t xml:space="preserve">11. Where this document fits in the Method</w:t>
      </w:r>
    </w:p>
    <w:p>
      <w:pPr>
        <w:spacing w:after="120" w:before="0"/>
      </w:pPr>
      <w:r>
        <w:t>S7 — Market Engagement &amp; RFI: this document informs the long-list and the RFI question set. The categories in section 4 should be the spine of any RFI scorecard.</w:t>
      </w:r>
    </w:p>
    <w:p>
      <w:pPr>
        <w:spacing w:after="120" w:before="0"/>
      </w:pPr>
      <w:r>
        <w:t>S8 — Software Selection: this document feeds the demo scorecard. Vendors are scored on the same criteria during scripted demos.</w:t>
      </w:r>
    </w:p>
    <w:p>
      <w:pPr>
        <w:spacing w:after="120" w:before="0"/>
      </w:pPr>
      <w:r>
        <w:t>SI Selection with ROM Pricing (S9) — SI Selection: the Professional Services category in section 4.4 is the bridge — once the platform is chosen, the same logic narrows the SI partner shortlist.</w:t>
      </w:r>
    </w:p>
    <w:p>
      <w:pPr>
        <w:spacing w:after="120" w:before="0"/>
      </w:pPr>
      <w:r>
        <w:t>Solution Design &amp; Full Business Case (S12) — Solution Design: the platform's strengths and weaknesses captured here inform fit-gap decisions and customisation business cases — "this is a known weakness of the platform; either we customise, work around, or accept".</w:t>
      </w:r>
    </w:p>
    <w:p>
      <w:pPr>
        <w:pStyle w:val="Heading1"/>
        <w:spacing w:after="180" w:before="360"/>
      </w:pPr>
      <w:r>
        <w:rPr>
          <w:b/>
          <w:bCs/>
          <w:color w:val="1F2A44"/>
          <w:sz w:val="32"/>
          <w:szCs w:val="32"/>
        </w:rPr>
        <w:t xml:space="preserve">12. Change log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000"/>
        <w:gridCol w:w="1500"/>
        <w:gridCol w:w="4026"/>
      </w:tblGrid>
      <w:tr>
        <w:trPr>
          <w:tblHeader/>
        </w:trPr>
        <w:tc>
          <w:tcPr>
            <w:tcW w:type="dxa" w:w="15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Version</w:t>
            </w:r>
          </w:p>
        </w:tc>
        <w:tc>
          <w:tcPr>
            <w:tcW w:type="dxa" w:w="20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Date</w:t>
            </w:r>
          </w:p>
        </w:tc>
        <w:tc>
          <w:tcPr>
            <w:tcW w:type="dxa" w:w="15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Author</w:t>
            </w:r>
          </w:p>
        </w:tc>
        <w:tc>
          <w:tcPr>
            <w:tcW w:type="dxa" w:w="40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Change</w:t>
            </w:r>
          </w:p>
        </w:tc>
      </w:tr>
      <w:tr>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1.0</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[Initial template]</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Method team</w:t>
            </w:r>
          </w:p>
        </w:tc>
        <w:tc>
          <w:tcPr>
            <w:tcW w:type="dxa" w:w="40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Initial release of the vendor comparison reference for S8 Selection input</w:t>
            </w:r>
          </w:p>
        </w:tc>
      </w:tr>
    </w:tbl>
    <w:sectPr>
      <w:headerReference w:type="default" r:id="rId7"/>
      <w:footerReference w:type="default" r:id="rId8"/>
      <w:headerReference w:type="first" r:id="rId10"/>
      <w:headerReference w:type="even" r:id="rId11"/>
      <w:footerReference w:type="first" r:id="rId12"/>
      <w:footerReference w:type="even" r:id="rId13"/>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06B80"/>
        <w:sz w:val="16"/>
        <w:szCs w:val="16"/>
      </w:rPr>
      <w:t xml:space="preserve">Page </w:t>
    </w:r>
    <w:r>
      <w:rPr>
        <w:color w:val="606B80"/>
        <w:sz w:val="16"/>
        <w:szCs w:val="16"/>
      </w:rPr>
      <w:fldChar w:fldCharType="begin"/>
      <w:instrText xml:space="preserve">PAGE</w:instrText>
      <w:fldChar w:fldCharType="separate"/>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606B80"/>
        <w:sz w:val="16"/>
        <w:szCs w:val="16"/>
      </w:rPr>
      <w:t>ERP Method · Vendor Comparison — Tier 1 vs Tier 2 (S8)</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2A44"/>
      <w:sz w:val="32"/>
      <w:szCs w:val="32"/>
    </w:rPr>
  </w:style>
  <w:style w:type="paragraph" w:styleId="Heading2">
    <w:name w:val="Heading 2"/>
    <w:basedOn w:val="Normal"/>
    <w:next w:val="Normal"/>
    <w:qFormat/>
    <w:pPr>
      <w:spacing w:after="140" w:before="280"/>
      <w:outlineLvl w:val="1"/>
    </w:pPr>
    <w:rPr>
      <w:rFonts w:ascii="Calibri" w:cs="Calibri" w:eastAsia="Calibri" w:hAnsi="Calibri"/>
      <w:b/>
      <w:bCs/>
      <w:color w:val="1F2A44"/>
      <w:sz w:val="26"/>
      <w:szCs w:val="26"/>
    </w:rPr>
  </w:style>
  <w:style w:type="paragraph" w:styleId="Heading3">
    <w:name w:val="Heading 3"/>
    <w:basedOn w:val="Normal"/>
    <w:next w:val="Normal"/>
    <w:qFormat/>
    <w:pPr>
      <w:spacing w:after="100" w:before="200"/>
      <w:outlineLvl w:val="2"/>
    </w:pPr>
    <w:rPr>
      <w:rFonts w:ascii="Calibri" w:cs="Calibri" w:eastAsia="Calibri" w:hAnsi="Calibri"/>
      <w:b/>
      <w:bCs/>
      <w:color w:val="2C4F8F"/>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footer" Target="footer3.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2026-04-30T14:38:48.831Z</dcterms:created>
  <dcterms:modified xsi:type="dcterms:W3CDTF">2026-04-30T14:38:48.832Z</dcterms:modified>
</cp:coreProperties>
</file>

<file path=docProps/custom.xml><?xml version="1.0" encoding="utf-8"?>
<Properties xmlns="http://schemas.openxmlformats.org/officeDocument/2006/custom-properties" xmlns:vt="http://schemas.openxmlformats.org/officeDocument/2006/docPropsVTypes"/>
</file>