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color w:val="1E2761"/>
          <w:sz w:val="64"/>
        </w:rPr>
        <w:t>Vision &amp; Strategy</w:t>
      </w:r>
    </w:p>
    <w:p>
      <w:r>
        <w:rPr>
          <w:rFonts w:ascii="Arial" w:hAnsi="Arial"/>
          <w:i/>
          <w:color w:val="595959"/>
          <w:sz w:val="28"/>
        </w:rPr>
        <w:t>Vision &amp; Strategy (S1) — sets out where we are going and why ERP is part of how we get there.</w:t>
      </w:r>
    </w:p>
    <w:p>
      <w:pPr>
        <w:pBdr>
          <w:bottom w:val="single" w:sz="18" w:color="1E2761" w:space="1"/>
        </w:pBdr>
      </w:pPr>
    </w:p>
    <w:tbl>
      <w:tblPr>
        <w:tblW w:type="auto" w:w="0"/>
        <w:tblLayout w:type="fixed"/>
        <w:tblLook w:firstColumn="1" w:firstRow="1" w:lastColumn="0" w:lastRow="0" w:noHBand="0" w:noVBand="1" w:val="04A0"/>
      </w:tblPr>
      <w:tblGrid>
        <w:gridCol w:w="4320"/>
        <w:gridCol w:w="4320"/>
      </w:tblGrid>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Document</w:t>
            </w:r>
          </w:p>
        </w:tc>
        <w:tc>
          <w:tcPr>
            <w:tcW w:type="dxa" w:w="6236"/>
            <w:tcBorders>
              <w:top w:val="single" w:sz="6" w:color="BFBFBF"/>
              <w:left w:val="single" w:sz="6" w:color="BFBFBF"/>
              <w:bottom w:val="single" w:sz="6" w:color="BFBFBF"/>
              <w:right w:val="single" w:sz="6" w:color="BFBFBF"/>
            </w:tcBorders>
          </w:tcPr>
          <w:p>
            <w:r/>
            <w:r>
              <w:rPr>
                <w:rFonts w:ascii="Arial" w:hAnsi="Arial"/>
                <w:sz w:val="22"/>
              </w:rPr>
              <w:t>Vision &amp; Strategy</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Version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v1.0 (TEMPLATE)</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Date</w:t>
            </w:r>
          </w:p>
        </w:tc>
        <w:tc>
          <w:tcPr>
            <w:tcW w:type="dxa" w:w="6236"/>
            <w:tcBorders>
              <w:top w:val="single" w:sz="6" w:color="BFBFBF"/>
              <w:left w:val="single" w:sz="6" w:color="BFBFBF"/>
              <w:bottom w:val="single" w:sz="6" w:color="BFBFBF"/>
              <w:right w:val="single" w:sz="6" w:color="BFBFBF"/>
            </w:tcBorders>
          </w:tcPr>
          <w:p>
            <w:r/>
            <w:r>
              <w:rPr>
                <w:rFonts w:ascii="Arial" w:hAnsi="Arial"/>
                <w:sz w:val="22"/>
              </w:rPr>
              <w:t>April 2026</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Owner</w:t>
            </w:r>
          </w:p>
        </w:tc>
        <w:tc>
          <w:tcPr>
            <w:tcW w:type="dxa" w:w="6236"/>
            <w:tcBorders>
              <w:top w:val="single" w:sz="6" w:color="BFBFBF"/>
              <w:left w:val="single" w:sz="6" w:color="BFBFBF"/>
              <w:bottom w:val="single" w:sz="6" w:color="BFBFBF"/>
              <w:right w:val="single" w:sz="6" w:color="BFBFBF"/>
            </w:tcBorders>
          </w:tcPr>
          <w:p>
            <w:r/>
            <w:r>
              <w:rPr>
                <w:rFonts w:ascii="Arial" w:hAnsi="Arial"/>
                <w:sz w:val="22"/>
              </w:rPr>
              <w:t>Executive Sponsor + Business Architect</w:t>
            </w:r>
          </w:p>
        </w:tc>
      </w:tr>
      <w:tr>
        <w:tc>
          <w:tcPr>
            <w:tcW w:type="dxa" w:w="2835"/>
            <w:shd w:val="clear" w:color="auto" w:fill="EAF1FA"/>
            <w:tcBorders>
              <w:top w:val="single" w:sz="6" w:color="BFBFBF"/>
              <w:left w:val="single" w:sz="6" w:color="BFBFBF"/>
              <w:bottom w:val="single" w:sz="6" w:color="BFBFBF"/>
              <w:right w:val="single" w:sz="6" w:color="BFBFBF"/>
            </w:tcBorders>
          </w:tcPr>
          <w:p>
            <w:r/>
            <w:r>
              <w:rPr>
                <w:rFonts w:ascii="Arial" w:hAnsi="Arial"/>
                <w:b/>
                <w:color w:val="1E2761"/>
                <w:sz w:val="22"/>
              </w:rPr>
              <w:t>Classification</w:t>
            </w:r>
          </w:p>
        </w:tc>
        <w:tc>
          <w:tcPr>
            <w:tcW w:type="dxa" w:w="6236"/>
            <w:tcBorders>
              <w:top w:val="single" w:sz="6" w:color="BFBFBF"/>
              <w:left w:val="single" w:sz="6" w:color="BFBFBF"/>
              <w:bottom w:val="single" w:sz="6" w:color="BFBFBF"/>
              <w:right w:val="single" w:sz="6" w:color="BFBFBF"/>
            </w:tcBorders>
          </w:tcPr>
          <w:p>
            <w:r/>
            <w:r>
              <w:rPr>
                <w:rFonts w:ascii="Arial" w:hAnsi="Arial"/>
                <w:sz w:val="22"/>
              </w:rPr>
              <w:t>Programme Use</w:t>
            </w:r>
          </w:p>
        </w:tc>
      </w:tr>
    </w:tbl>
    <w:p>
      <w:r>
        <w:br w:type="page"/>
      </w:r>
    </w:p>
    <w:p>
      <w:pPr>
        <w:pStyle w:val="Heading1"/>
      </w:pPr>
      <w:r>
        <w:t>1. Purpose</w:t>
      </w:r>
    </w:p>
    <w:p>
      <w:r>
        <w:rPr>
          <w:rFonts w:ascii="Arial" w:hAnsi="Arial"/>
          <w:b w:val="0"/>
          <w:i w:val="0"/>
          <w:sz w:val="22"/>
        </w:rPr>
        <w:t>S1 takes the Problem / Opportunity (S0) problem statement and frames it within the organisation's strategy. It answers three questions: where is the organisation going; what role does ERP play in getting there; what does success look like by year 5.</w:t>
      </w:r>
    </w:p>
    <w:p>
      <w:pPr>
        <w:pStyle w:val="Heading1"/>
      </w:pPr>
      <w:r>
        <w:t>2. Strategic context</w:t>
      </w:r>
    </w:p>
    <w:p>
      <w:r>
        <w:rPr>
          <w:rFonts w:ascii="Arial" w:hAnsi="Arial"/>
          <w:b w:val="0"/>
          <w:i w:val="0"/>
          <w:sz w:val="22"/>
        </w:rPr>
        <w:t>[Précis of the wider organisational strategy — typically 2–3 pages with reference to the corporate strategy document. Cover: market, competitive position, growth ambition, operating model direction, M&amp;A trajectory, regulatory environment.]</w:t>
      </w:r>
    </w:p>
    <w:p>
      <w:pPr>
        <w:pStyle w:val="Heading1"/>
      </w:pPr>
      <w:r>
        <w:t>3. The role of ERP</w:t>
      </w:r>
    </w:p>
    <w:p>
      <w:r>
        <w:rPr>
          <w:rFonts w:ascii="Arial" w:hAnsi="Arial"/>
          <w:b w:val="0"/>
          <w:i w:val="0"/>
          <w:sz w:val="22"/>
        </w:rPr>
        <w:t>ERP is one of several enabling capabilities. This section frames where ERP sits relative to other strategic investments (data platform, customer experience, supply chain network, talent). The ERP programme should NOT be presented as the answer to every problem; scoping discipline starts here.</w:t>
      </w:r>
    </w:p>
    <w:p>
      <w:pPr>
        <w:pStyle w:val="Heading1"/>
      </w:pPr>
      <w:r>
        <w:t>4. Five-year vision</w:t>
      </w:r>
    </w:p>
    <w:p>
      <w:pPr>
        <w:pStyle w:val="Heading2"/>
      </w:pPr>
      <w:r>
        <w:t>4.1 Capability outcomes</w:t>
      </w:r>
    </w:p>
    <w:p>
      <w:pPr>
        <w:pStyle w:val="ListBullet"/>
      </w:pPr>
      <w:r>
        <w:rPr>
          <w:rFonts w:ascii="Arial" w:hAnsi="Arial"/>
          <w:sz w:val="22"/>
        </w:rPr>
        <w:t>[Capability 1 — e.g. 'A single chart of accounts and group consolidation in real-time']</w:t>
      </w:r>
    </w:p>
    <w:p>
      <w:pPr>
        <w:pStyle w:val="ListBullet"/>
      </w:pPr>
      <w:r>
        <w:rPr>
          <w:rFonts w:ascii="Arial" w:hAnsi="Arial"/>
          <w:sz w:val="22"/>
        </w:rPr>
        <w:t>[Capability 2 — e.g. 'End-to-end supplier compliance visible to procurement and finance']</w:t>
      </w:r>
    </w:p>
    <w:p>
      <w:pPr>
        <w:pStyle w:val="ListBullet"/>
      </w:pPr>
      <w:r>
        <w:rPr>
          <w:rFonts w:ascii="Arial" w:hAnsi="Arial"/>
          <w:sz w:val="22"/>
        </w:rPr>
        <w:t>[Capability 3 — e.g. 'Touchless invoice-to-pay for 80% of supplier invoices']</w:t>
      </w:r>
    </w:p>
    <w:p>
      <w:pPr>
        <w:pStyle w:val="ListBullet"/>
      </w:pPr>
      <w:r>
        <w:rPr>
          <w:rFonts w:ascii="Arial" w:hAnsi="Arial"/>
          <w:sz w:val="22"/>
        </w:rPr>
        <w:t>[Capability 4 — e.g. 'Daily management reporting available to all decision-makers']</w:t>
      </w:r>
    </w:p>
    <w:p>
      <w:pPr>
        <w:pStyle w:val="ListBullet"/>
      </w:pPr>
      <w:r>
        <w:rPr>
          <w:rFonts w:ascii="Arial" w:hAnsi="Arial"/>
          <w:sz w:val="22"/>
        </w:rPr>
        <w:t>[Capability 5 — e.g. 'Audit-ready controls embedded in every transaction path']</w:t>
      </w:r>
    </w:p>
    <w:p>
      <w:pPr>
        <w:pStyle w:val="Heading2"/>
      </w:pPr>
      <w:r>
        <w:t>4.2 Operating model implications</w:t>
      </w:r>
    </w:p>
    <w:p>
      <w:r>
        <w:rPr>
          <w:rFonts w:ascii="Arial" w:hAnsi="Arial"/>
          <w:b w:val="0"/>
          <w:i w:val="0"/>
          <w:sz w:val="22"/>
        </w:rPr>
        <w:t>[Where ERP enables / requires changes to the operating model — typically Shared Service consolidation, Centre of Excellence creation, decentralisation reversal, etc. Calls out decisions that need to be taken in parallel with the ERP programme.]</w:t>
      </w:r>
    </w:p>
    <w:p>
      <w:pPr>
        <w:pStyle w:val="Heading1"/>
      </w:pPr>
      <w:r>
        <w:t>5. Strategic principles</w:t>
      </w:r>
    </w:p>
    <w:p>
      <w:r>
        <w:rPr>
          <w:rFonts w:ascii="Arial" w:hAnsi="Arial"/>
          <w:b w:val="0"/>
          <w:i w:val="0"/>
          <w:sz w:val="22"/>
        </w:rPr>
        <w:t>These principles guide every solution decision through Stages 8–14:</w:t>
      </w:r>
    </w:p>
    <w:p>
      <w:pPr>
        <w:pStyle w:val="ListBullet"/>
      </w:pPr>
      <w:r>
        <w:rPr>
          <w:rFonts w:ascii="Arial" w:hAnsi="Arial"/>
          <w:sz w:val="22"/>
        </w:rPr>
        <w:t>Standard before custom — adopt the package standard process unless there is documented business value in deviation</w:t>
      </w:r>
    </w:p>
    <w:p>
      <w:pPr>
        <w:pStyle w:val="ListBullet"/>
      </w:pPr>
      <w:r>
        <w:rPr>
          <w:rFonts w:ascii="Arial" w:hAnsi="Arial"/>
          <w:sz w:val="22"/>
        </w:rPr>
        <w:t>One way of working — solve once, deploy globally; resist local variants</w:t>
      </w:r>
    </w:p>
    <w:p>
      <w:pPr>
        <w:pStyle w:val="ListBullet"/>
      </w:pPr>
      <w:r>
        <w:rPr>
          <w:rFonts w:ascii="Arial" w:hAnsi="Arial"/>
          <w:sz w:val="22"/>
        </w:rPr>
        <w:t>Data is owned by the business — data quality is a business accountability, not an IT one</w:t>
      </w:r>
    </w:p>
    <w:p>
      <w:pPr>
        <w:pStyle w:val="ListBullet"/>
      </w:pPr>
      <w:r>
        <w:rPr>
          <w:rFonts w:ascii="Arial" w:hAnsi="Arial"/>
          <w:sz w:val="22"/>
        </w:rPr>
        <w:t>Real-time over batch — design for live data flows wherever the source system supports it</w:t>
      </w:r>
    </w:p>
    <w:p>
      <w:pPr>
        <w:pStyle w:val="ListBullet"/>
      </w:pPr>
      <w:r>
        <w:rPr>
          <w:rFonts w:ascii="Arial" w:hAnsi="Arial"/>
          <w:sz w:val="22"/>
        </w:rPr>
        <w:t>Audit trail by design — every record traceable, no exceptions</w:t>
      </w:r>
    </w:p>
    <w:p>
      <w:pPr>
        <w:pStyle w:val="ListBullet"/>
      </w:pPr>
      <w:r>
        <w:rPr>
          <w:rFonts w:ascii="Arial" w:hAnsi="Arial"/>
          <w:sz w:val="22"/>
        </w:rPr>
        <w:t>Lifecycle thinking — make decisions that age well; avoid bespoke reports that need maintenance</w:t>
      </w:r>
    </w:p>
    <w:p>
      <w:pPr>
        <w:pStyle w:val="Heading1"/>
      </w:pPr>
      <w:r>
        <w:t>6. Scope envelope (intentions, not commitments)</w:t>
      </w:r>
    </w:p>
    <w:p>
      <w:r>
        <w:rPr>
          <w:rFonts w:ascii="Arial" w:hAnsi="Arial"/>
          <w:b w:val="0"/>
          <w:i w:val="0"/>
          <w:sz w:val="22"/>
        </w:rPr>
        <w:t>[High-level scope intent — what's likely in Phase 1, what's plausibly Phase 2. This is informational and informs the Value Definition &amp; Case for Change (S2) benefit case. Final scope is set in the Programme Setup &amp; Mobilisation (S10) Charter and confirmed in the Solution Design &amp; Full Business Case (S12) FBC.]</w:t>
      </w:r>
    </w:p>
    <w:p>
      <w:pPr>
        <w:pStyle w:val="Heading1"/>
      </w:pPr>
      <w:r>
        <w:t>7. Strategic risks</w:t>
      </w:r>
    </w:p>
    <w:tbl>
      <w:tblPr>
        <w:tblW w:type="auto" w:w="0"/>
        <w:tblLayout w:type="fixed"/>
        <w:tblLook w:firstColumn="1" w:firstRow="1" w:lastColumn="0" w:lastRow="0" w:noHBand="0" w:noVBand="1" w:val="04A0"/>
      </w:tblPr>
      <w:tblGrid>
        <w:gridCol w:w="4320"/>
        <w:gridCol w:w="4320"/>
      </w:tblGrid>
      <w:tr>
        <w:tc>
          <w:tcPr>
            <w:tcW w:type="dxa" w:w="34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Risk</w:t>
            </w:r>
          </w:p>
        </w:tc>
        <w:tc>
          <w:tcPr>
            <w:tcW w:type="dxa" w:w="51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Strategic implication</w:t>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Programme overruns and competes for capital with strategic priorities</w:t>
            </w:r>
          </w:p>
        </w:tc>
        <w:tc>
          <w:tcPr>
            <w:tcW w:type="dxa" w:w="5102"/>
            <w:tcBorders>
              <w:top w:val="single" w:sz="6" w:color="BFBFBF"/>
              <w:left w:val="single" w:sz="6" w:color="BFBFBF"/>
              <w:bottom w:val="single" w:sz="6" w:color="BFBFBF"/>
              <w:right w:val="single" w:sz="6" w:color="BFBFBF"/>
            </w:tcBorders>
          </w:tcPr>
          <w:p>
            <w:r/>
            <w:r>
              <w:rPr>
                <w:rFonts w:ascii="Arial" w:hAnsi="Arial"/>
                <w:sz w:val="20"/>
              </w:rPr>
              <w:t>Capital plan must hold a defined envelope; SteerCo discipline at every stage gate</w:t>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Operating model decisions deferred / decoupled</w:t>
            </w:r>
          </w:p>
        </w:tc>
        <w:tc>
          <w:tcPr>
            <w:tcW w:type="dxa" w:w="5102"/>
            <w:tcBorders>
              <w:top w:val="single" w:sz="6" w:color="BFBFBF"/>
              <w:left w:val="single" w:sz="6" w:color="BFBFBF"/>
              <w:bottom w:val="single" w:sz="6" w:color="BFBFBF"/>
              <w:right w:val="single" w:sz="6" w:color="BFBFBF"/>
            </w:tcBorders>
          </w:tcPr>
          <w:p>
            <w:r/>
            <w:r>
              <w:rPr>
                <w:rFonts w:ascii="Arial" w:hAnsi="Arial"/>
                <w:sz w:val="20"/>
              </w:rPr>
              <w:t>ERP forces operating model questions; defer-and-pretend produces solution churn</w:t>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Talent capacity in the business — Process Owners and SMEs</w:t>
            </w:r>
          </w:p>
        </w:tc>
        <w:tc>
          <w:tcPr>
            <w:tcW w:type="dxa" w:w="5102"/>
            <w:tcBorders>
              <w:top w:val="single" w:sz="6" w:color="BFBFBF"/>
              <w:left w:val="single" w:sz="6" w:color="BFBFBF"/>
              <w:bottom w:val="single" w:sz="6" w:color="BFBFBF"/>
              <w:right w:val="single" w:sz="6" w:color="BFBFBF"/>
            </w:tcBorders>
          </w:tcPr>
          <w:p>
            <w:r>
              <w:t>Backfill plan and named individuals must be confirmed before Discovery (S11)</w:t>
            </w:r>
            <w:r>
              <w:rPr>
                <w:rFonts w:ascii="Arial" w:hAnsi="Arial"/>
                <w:sz w:val="20"/>
              </w:rPr>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Vendor / SI selection forces strategic compromise</w:t>
            </w:r>
          </w:p>
        </w:tc>
        <w:tc>
          <w:tcPr>
            <w:tcW w:type="dxa" w:w="5102"/>
            <w:tcBorders>
              <w:top w:val="single" w:sz="6" w:color="BFBFBF"/>
              <w:left w:val="single" w:sz="6" w:color="BFBFBF"/>
              <w:bottom w:val="single" w:sz="6" w:color="BFBFBF"/>
              <w:right w:val="single" w:sz="6" w:color="BFBFBF"/>
            </w:tcBorders>
          </w:tcPr>
          <w:p>
            <w:r>
              <w:t>Strategic principles above must outrank vendor-specific feature lists in Software Selection (S8) scoring</w:t>
            </w:r>
            <w:r>
              <w:rPr>
                <w:rFonts w:ascii="Arial" w:hAnsi="Arial"/>
                <w:sz w:val="20"/>
              </w:rPr>
            </w:r>
          </w:p>
        </w:tc>
      </w:tr>
    </w:tbl>
    <w:p/>
    <w:p>
      <w:pPr>
        <w:pStyle w:val="Heading1"/>
      </w:pPr>
      <w:r>
        <w:t>8. What this document authorises</w:t>
      </w:r>
    </w:p>
    <w:p>
      <w:r>
        <w:rPr>
          <w:rFonts w:ascii="Arial" w:hAnsi="Arial"/>
          <w:b w:val="0"/>
          <w:i w:val="0"/>
          <w:sz w:val="22"/>
        </w:rPr>
        <w:t>Approval of this Vision &amp; Strategy authorises Stages 2–5 (the remainder of Pre-Programme): Value Definition &amp; Case for Change (S2), Design Governance &amp; Sponsorship (Design Governance &amp; Sponsorship (S3)), Execution Enablement (Execution Enablement (S4)), Benefits &amp; Continuous Alignment (Benefits &amp; Continuous Alignment (S5)). It does NOT yet authorise the Funding Envelope — that is Gate 1 at Funding Envelope &amp; Benchmark Costs (S6).</w:t>
      </w:r>
    </w:p>
    <w:p>
      <w:pPr>
        <w:pStyle w:val="Heading1"/>
      </w:pPr>
      <w:r>
        <w:t>9. Sign-off</w:t>
      </w:r>
    </w:p>
    <w:tbl>
      <w:tblPr>
        <w:tblW w:type="auto" w:w="0"/>
        <w:tblLayout w:type="fixed"/>
        <w:tblLook w:firstColumn="1" w:firstRow="1" w:lastColumn="0" w:lastRow="0" w:noHBand="0" w:noVBand="1" w:val="04A0"/>
      </w:tblPr>
      <w:tblGrid>
        <w:gridCol w:w="2880"/>
        <w:gridCol w:w="2880"/>
        <w:gridCol w:w="2880"/>
      </w:tblGrid>
      <w:tr>
        <w:tc>
          <w:tcPr>
            <w:tcW w:type="dxa" w:w="34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Role</w:t>
            </w:r>
          </w:p>
        </w:tc>
        <w:tc>
          <w:tcPr>
            <w:tcW w:type="dxa" w:w="3402"/>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Name</w:t>
            </w:r>
          </w:p>
        </w:tc>
        <w:tc>
          <w:tcPr>
            <w:tcW w:type="dxa" w:w="2268"/>
            <w:shd w:val="clear" w:color="auto" w:fill="1E2761"/>
            <w:tcBorders>
              <w:top w:val="single" w:sz="6" w:color="BFBFBF"/>
              <w:left w:val="single" w:sz="6" w:color="BFBFBF"/>
              <w:bottom w:val="single" w:sz="6" w:color="BFBFBF"/>
              <w:right w:val="single" w:sz="6" w:color="BFBFBF"/>
            </w:tcBorders>
          </w:tcPr>
          <w:p>
            <w:r/>
            <w:r>
              <w:rPr>
                <w:rFonts w:ascii="Arial" w:hAnsi="Arial"/>
                <w:b/>
                <w:color w:val="FFFFFF"/>
                <w:sz w:val="20"/>
              </w:rPr>
              <w:t>Date</w:t>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Chief Executive</w:t>
            </w:r>
          </w:p>
        </w:tc>
        <w:tc>
          <w:tcPr>
            <w:tcW w:type="dxa" w:w="3402"/>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Chief Financial Officer</w:t>
            </w:r>
          </w:p>
        </w:tc>
        <w:tc>
          <w:tcPr>
            <w:tcW w:type="dxa" w:w="3402"/>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Chief Information Officer</w:t>
            </w:r>
          </w:p>
        </w:tc>
        <w:tc>
          <w:tcPr>
            <w:tcW w:type="dxa" w:w="3402"/>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Executive Sponsor (ERP)</w:t>
            </w:r>
          </w:p>
        </w:tc>
        <w:tc>
          <w:tcPr>
            <w:tcW w:type="dxa" w:w="3402"/>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r>
        <w:tc>
          <w:tcPr>
            <w:tcW w:type="dxa" w:w="3402"/>
            <w:tcBorders>
              <w:top w:val="single" w:sz="6" w:color="BFBFBF"/>
              <w:left w:val="single" w:sz="6" w:color="BFBFBF"/>
              <w:bottom w:val="single" w:sz="6" w:color="BFBFBF"/>
              <w:right w:val="single" w:sz="6" w:color="BFBFBF"/>
            </w:tcBorders>
          </w:tcPr>
          <w:p>
            <w:r/>
            <w:r>
              <w:rPr>
                <w:rFonts w:ascii="Arial" w:hAnsi="Arial"/>
                <w:sz w:val="20"/>
              </w:rPr>
              <w:t>Chair of the Board (or designate)</w:t>
            </w:r>
          </w:p>
        </w:tc>
        <w:tc>
          <w:tcPr>
            <w:tcW w:type="dxa" w:w="3402"/>
            <w:tcBorders>
              <w:top w:val="single" w:sz="6" w:color="BFBFBF"/>
              <w:left w:val="single" w:sz="6" w:color="BFBFBF"/>
              <w:bottom w:val="single" w:sz="6" w:color="BFBFBF"/>
              <w:right w:val="single" w:sz="6" w:color="BFBFBF"/>
            </w:tcBorders>
          </w:tcPr>
          <w:p>
            <w:r/>
            <w:r>
              <w:rPr>
                <w:rFonts w:ascii="Arial" w:hAnsi="Arial"/>
                <w:sz w:val="20"/>
              </w:rPr>
            </w:r>
          </w:p>
        </w:tc>
        <w:tc>
          <w:tcPr>
            <w:tcW w:type="dxa" w:w="2268"/>
            <w:tcBorders>
              <w:top w:val="single" w:sz="6" w:color="BFBFBF"/>
              <w:left w:val="single" w:sz="6" w:color="BFBFBF"/>
              <w:bottom w:val="single" w:sz="6" w:color="BFBFBF"/>
              <w:right w:val="single" w:sz="6" w:color="BFBFBF"/>
            </w:tcBorders>
          </w:tcPr>
          <w:p>
            <w:r/>
            <w:r>
              <w:rPr>
                <w:rFonts w:ascii="Arial" w:hAnsi="Arial"/>
                <w:sz w:val="20"/>
              </w:rPr>
            </w:r>
          </w:p>
        </w:tc>
      </w:tr>
    </w:tbl>
    <w:p/>
    <w:sectPr w:rsidR="00FC693F" w:rsidRPr="0006063C" w:rsidSect="00034616">
      <w:headerReference w:type="default" r:id="rId9"/>
      <w:headerReference w:type="first" r:id="rId10"/>
      <w:headerReference w:type="even" r:id="rId11"/>
      <w:footerReference w:type="default" r:id="rId12"/>
      <w:footerReference w:type="first" r:id="rId13"/>
      <w:footerReference w:type="even"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20"/>
      <w:outlineLvl w:val="0"/>
    </w:pPr>
    <w:rPr>
      <w:rFonts w:asciiTheme="majorHAnsi" w:eastAsiaTheme="majorEastAsia" w:hAnsiTheme="majorHAnsi" w:cstheme="majorBidi" w:ascii="Arial" w:hAnsi="Arial"/>
      <w:b/>
      <w:bCs/>
      <w:color w:val="1E2761"/>
      <w:sz w:val="36"/>
      <w:szCs w:val="28"/>
    </w:rPr>
  </w:style>
  <w:style w:type="paragraph" w:styleId="Heading2">
    <w:name w:val="heading 2"/>
    <w:basedOn w:val="Normal"/>
    <w:next w:val="Normal"/>
    <w:link w:val="Heading2Char"/>
    <w:uiPriority w:val="9"/>
    <w:unhideWhenUsed/>
    <w:qFormat/>
    <w:rsid w:val="00FC693F"/>
    <w:pPr>
      <w:keepNext/>
      <w:keepLines/>
      <w:spacing w:before="280" w:after="120"/>
      <w:outlineLvl w:val="1"/>
    </w:pPr>
    <w:rPr>
      <w:rFonts w:asciiTheme="majorHAnsi" w:eastAsiaTheme="majorEastAsia" w:hAnsiTheme="majorHAnsi" w:cstheme="majorBidi" w:ascii="Arial" w:hAnsi="Arial"/>
      <w:b/>
      <w:bCs/>
      <w:color w:val="1E2761"/>
      <w:sz w:val="28"/>
      <w:szCs w:val="26"/>
    </w:rPr>
  </w:style>
  <w:style w:type="paragraph" w:styleId="Heading3">
    <w:name w:val="heading 3"/>
    <w:basedOn w:val="Normal"/>
    <w:next w:val="Normal"/>
    <w:link w:val="Heading3Char"/>
    <w:uiPriority w:val="9"/>
    <w:unhideWhenUsed/>
    <w:qFormat/>
    <w:rsid w:val="00FC693F"/>
    <w:pPr>
      <w:keepNext/>
      <w:keepLines/>
      <w:spacing w:before="280" w:after="120"/>
      <w:outlineLvl w:val="2"/>
    </w:pPr>
    <w:rPr>
      <w:rFonts w:asciiTheme="majorHAnsi" w:eastAsiaTheme="majorEastAsia" w:hAnsiTheme="majorHAnsi" w:cstheme="majorBidi" w:ascii="Arial" w:hAnsi="Arial"/>
      <w:b/>
      <w:bCs/>
      <w:color w:val="1E2761"/>
      <w:sz w:val="24"/>
    </w:rPr>
  </w:style>
  <w:style w:type="paragraph" w:styleId="Heading4">
    <w:name w:val="heading 4"/>
    <w:basedOn w:val="Normal"/>
    <w:next w:val="Normal"/>
    <w:link w:val="Heading4Char"/>
    <w:uiPriority w:val="9"/>
    <w:semiHidden/>
    <w:unhideWhenUsed/>
    <w:qFormat/>
    <w:rsid w:val="00FC693F"/>
    <w:pPr>
      <w:keepNext/>
      <w:keepLines/>
      <w:spacing w:before="280" w:after="120"/>
      <w:outlineLvl w:val="3"/>
    </w:pPr>
    <w:rPr>
      <w:rFonts w:asciiTheme="majorHAnsi" w:eastAsiaTheme="majorEastAsia" w:hAnsiTheme="majorHAnsi" w:cstheme="majorBidi" w:ascii="Arial" w:hAnsi="Arial"/>
      <w:b/>
      <w:bCs/>
      <w:i/>
      <w:iCs/>
      <w:color w:val="1E2761"/>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1E2761"/>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