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2761"/>
          <w:sz w:val="60"/>
        </w:rPr>
        <w:t>Data Migration Specification — Customers</w:t>
      </w:r>
    </w:p>
    <w:p>
      <w:r>
        <w:rPr>
          <w:rFonts w:ascii="Arial" w:hAnsi="Arial"/>
          <w:i/>
          <w:color w:val="595959"/>
          <w:sz w:val="26"/>
        </w:rPr>
        <w:t>Build &amp; Configuration (S13). Worked example. One per source domain. Companion mapping in Excel.</w:t>
      </w:r>
    </w:p>
    <w:p>
      <w:pPr>
        <w:pBdr>
          <w:bottom w:val="single" w:sz="18" w:color="1E2761" w:space="1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Document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Data Migration Specification — Customers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Version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v1.0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Date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April 2026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Owner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Data Migration Lead (with Commercial Director as Data Owner)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Classification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Programme Use</w:t>
            </w:r>
          </w:p>
        </w:tc>
      </w:tr>
    </w:tbl>
    <w:p>
      <w:r>
        <w:br w:type="page"/>
      </w:r>
    </w:p>
    <w:p>
      <w:pPr>
        <w:pStyle w:val="Heading1"/>
      </w:pPr>
      <w:r>
        <w:t>1. Domain overview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Item</w:t>
            </w:r>
          </w:p>
        </w:tc>
        <w:tc>
          <w:tcPr>
            <w:tcW w:type="dxa" w:w="6236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Domain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Customers (master) + open AR (transactional)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Source system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Legacy ERP (Oracle EBS)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Target system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D365 Finance + Supply Chain Management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Volume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~12,400 customer master records; ~78,000 open AR transactions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Data Owner (business)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Commercial Director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Migration Owner (technical)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SI Data Migration Lead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Cleansing approach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Cleanse-in-source (preferred); cleanse-in-flight only for known historical mappings</w:t>
            </w:r>
          </w:p>
        </w:tc>
      </w:tr>
    </w:tbl>
    <w:p/>
    <w:p>
      <w:pPr>
        <w:pStyle w:val="Heading1"/>
      </w:pPr>
      <w:r>
        <w:t>2. Scope</w:t>
      </w:r>
    </w:p>
    <w:p>
      <w:r>
        <w:rPr>
          <w:rFonts w:ascii="Arial" w:hAnsi="Arial"/>
          <w:b w:val="0"/>
          <w:i w:val="0"/>
          <w:sz w:val="22"/>
        </w:rPr>
        <w:t>In scope:</w:t>
      </w:r>
    </w:p>
    <w:p>
      <w:pPr>
        <w:pStyle w:val="ListBullet"/>
      </w:pPr>
      <w:r>
        <w:rPr>
          <w:rFonts w:ascii="Arial" w:hAnsi="Arial"/>
          <w:sz w:val="22"/>
        </w:rPr>
        <w:t>Customer master records active in last 24 months</w:t>
      </w:r>
    </w:p>
    <w:p>
      <w:pPr>
        <w:pStyle w:val="ListBullet"/>
      </w:pPr>
      <w:r>
        <w:rPr>
          <w:rFonts w:ascii="Arial" w:hAnsi="Arial"/>
          <w:sz w:val="22"/>
        </w:rPr>
        <w:t>Customer hierarchies (parent/child relationships)</w:t>
      </w:r>
    </w:p>
    <w:p>
      <w:pPr>
        <w:pStyle w:val="ListBullet"/>
      </w:pPr>
      <w:r>
        <w:rPr>
          <w:rFonts w:ascii="Arial" w:hAnsi="Arial"/>
          <w:sz w:val="22"/>
        </w:rPr>
        <w:t>Customer ship-to addresses (active)</w:t>
      </w:r>
    </w:p>
    <w:p>
      <w:pPr>
        <w:pStyle w:val="ListBullet"/>
      </w:pPr>
      <w:r>
        <w:rPr>
          <w:rFonts w:ascii="Arial" w:hAnsi="Arial"/>
          <w:sz w:val="22"/>
        </w:rPr>
        <w:t>Customer payment terms and credit limits</w:t>
      </w:r>
    </w:p>
    <w:p>
      <w:pPr>
        <w:pStyle w:val="ListBullet"/>
      </w:pPr>
      <w:r>
        <w:rPr>
          <w:rFonts w:ascii="Arial" w:hAnsi="Arial"/>
          <w:sz w:val="22"/>
        </w:rPr>
        <w:t>Open AR invoices (open or partially paid)</w:t>
      </w:r>
    </w:p>
    <w:p>
      <w:pPr>
        <w:pStyle w:val="ListBullet"/>
      </w:pPr>
      <w:r>
        <w:rPr>
          <w:rFonts w:ascii="Arial" w:hAnsi="Arial"/>
          <w:sz w:val="22"/>
        </w:rPr>
        <w:t>Open credit notes</w:t>
      </w:r>
    </w:p>
    <w:p>
      <w:r>
        <w:rPr>
          <w:rFonts w:ascii="Arial" w:hAnsi="Arial"/>
          <w:b w:val="0"/>
          <w:i w:val="0"/>
          <w:sz w:val="22"/>
        </w:rPr>
        <w:t>Out of scope (read-only retention in legacy):</w:t>
      </w:r>
    </w:p>
    <w:p>
      <w:pPr>
        <w:pStyle w:val="ListBullet"/>
      </w:pPr>
      <w:r>
        <w:rPr>
          <w:rFonts w:ascii="Arial" w:hAnsi="Arial"/>
          <w:sz w:val="22"/>
        </w:rPr>
        <w:t>Customers with no transactions in last 24 months (~3,800 records)</w:t>
      </w:r>
    </w:p>
    <w:p>
      <w:pPr>
        <w:pStyle w:val="ListBullet"/>
      </w:pPr>
      <w:r>
        <w:rPr>
          <w:rFonts w:ascii="Arial" w:hAnsi="Arial"/>
          <w:sz w:val="22"/>
        </w:rPr>
        <w:t>Closed AR transactions</w:t>
      </w:r>
    </w:p>
    <w:p>
      <w:pPr>
        <w:pStyle w:val="ListBullet"/>
      </w:pPr>
      <w:r>
        <w:rPr>
          <w:rFonts w:ascii="Arial" w:hAnsi="Arial"/>
          <w:sz w:val="22"/>
        </w:rPr>
        <w:t>Historical AR ageing reports (rebuilt from new system data post go-live)</w:t>
      </w:r>
    </w:p>
    <w:p>
      <w:pPr>
        <w:pStyle w:val="ListBullet"/>
      </w:pPr>
      <w:r>
        <w:rPr>
          <w:rFonts w:ascii="Arial" w:hAnsi="Arial"/>
          <w:sz w:val="22"/>
        </w:rPr>
        <w:t>Customer contact history (CRM remains source of truth)</w:t>
      </w:r>
    </w:p>
    <w:p>
      <w:pPr>
        <w:pStyle w:val="Heading1"/>
      </w:pPr>
      <w:r>
        <w:t>3. Field mapping (high level — full mapping in Excel)</w:t>
      </w:r>
    </w:p>
    <w:p>
      <w:r>
        <w:rPr>
          <w:rFonts w:ascii="Arial" w:hAnsi="Arial"/>
          <w:b w:val="0"/>
          <w:i w:val="0"/>
          <w:sz w:val="22"/>
        </w:rPr>
        <w:t>Each customer record involves ~45 fields. Full field-by-field mapping with transformation logic, defaults and validation rules is in the companion Data Migration Mapping - Customers.xlsx. Sample of key fields: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118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Source field (Oracle EBS)</w:t>
            </w:r>
          </w:p>
        </w:tc>
        <w:tc>
          <w:tcPr>
            <w:tcW w:type="dxa" w:w="2551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Target field (D365)</w:t>
            </w:r>
          </w:p>
        </w:tc>
        <w:tc>
          <w:tcPr>
            <w:tcW w:type="dxa" w:w="34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Transformation</w:t>
            </w:r>
          </w:p>
        </w:tc>
      </w:tr>
      <w:tr>
        <w:tc>
          <w:tcPr>
            <w:tcW w:type="dxa" w:w="311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HZ_PARTIES.PARTY_NAME</w:t>
            </w:r>
          </w:p>
        </w:tc>
        <w:tc>
          <w:tcPr>
            <w:tcW w:type="dxa" w:w="255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CustomerName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Direct; truncate 100 chars</w:t>
            </w:r>
          </w:p>
        </w:tc>
      </w:tr>
      <w:tr>
        <w:tc>
          <w:tcPr>
            <w:tcW w:type="dxa" w:w="311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HZ_CUST_ACCOUNTS.ACCOUNT_NUMBER</w:t>
            </w:r>
          </w:p>
        </w:tc>
        <w:tc>
          <w:tcPr>
            <w:tcW w:type="dxa" w:w="255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CustomerAccount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Prefix with BU code</w:t>
            </w:r>
          </w:p>
        </w:tc>
      </w:tr>
      <w:tr>
        <w:tc>
          <w:tcPr>
            <w:tcW w:type="dxa" w:w="311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HZ_CUST_ACCOUNTS.STATUS</w:t>
            </w:r>
          </w:p>
        </w:tc>
        <w:tc>
          <w:tcPr>
            <w:tcW w:type="dxa" w:w="255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Blocked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Map A→0, I→1, B→1</w:t>
            </w:r>
          </w:p>
        </w:tc>
      </w:tr>
      <w:tr>
        <w:tc>
          <w:tcPr>
            <w:tcW w:type="dxa" w:w="311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HZ_CUST_PROFILE_AMTS.OVERALL_CREDIT_LIMIT</w:t>
            </w:r>
          </w:p>
        </w:tc>
        <w:tc>
          <w:tcPr>
            <w:tcW w:type="dxa" w:w="255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CreditLimit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Direct; convert to entity currency</w:t>
            </w:r>
          </w:p>
        </w:tc>
      </w:tr>
      <w:tr>
        <w:tc>
          <w:tcPr>
            <w:tcW w:type="dxa" w:w="311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AR_PAYMENT_SCHEDULES_ALL.AMOUNT_DUE_REMAINING</w:t>
            </w:r>
          </w:p>
        </w:tc>
        <w:tc>
          <w:tcPr>
            <w:tcW w:type="dxa" w:w="255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InvoiceAmountOpen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Direct; AR records only</w:t>
            </w:r>
          </w:p>
        </w:tc>
      </w:tr>
      <w:tr>
        <w:tc>
          <w:tcPr>
            <w:tcW w:type="dxa" w:w="311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HZ_PARTY_SITES.LOCATION_ID</w:t>
            </w:r>
          </w:p>
        </w:tc>
        <w:tc>
          <w:tcPr>
            <w:tcW w:type="dxa" w:w="255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AddressId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Lookup; create if not exists</w:t>
            </w:r>
          </w:p>
        </w:tc>
      </w:tr>
    </w:tbl>
    <w:p/>
    <w:p>
      <w:pPr>
        <w:pStyle w:val="Heading1"/>
      </w:pPr>
      <w:r>
        <w:t>4. Cleansing rules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Rule</w:t>
            </w:r>
          </w:p>
        </w:tc>
        <w:tc>
          <w:tcPr>
            <w:tcW w:type="dxa" w:w="34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2268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Customer name with leading/trailing spaces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Trim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Cleanse in source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Customer name in all caps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Convert to title case (with exceptions list — 'IBM', 'BBC', etc.)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Cleanse in source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Duplicate customers (matched on VAT number + name)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Merge in source; nominate survivor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Commercial Director sign-off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Missing tax registration number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Block migration; raise to Data Owner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Commercial Director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Credit limit = 0 but with active orders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Set to default per category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Cleanse in source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Address with no postcode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Geo-lookup; manual review if not found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Cleanse in source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Currency mismatch between customer and orders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Block; raise to Data Owner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Commercial Director</w:t>
            </w:r>
          </w:p>
        </w:tc>
      </w:tr>
    </w:tbl>
    <w:p/>
    <w:p>
      <w:pPr>
        <w:pStyle w:val="Heading1"/>
      </w:pPr>
      <w:r>
        <w:t>5. Reconciliation</w:t>
      </w:r>
    </w:p>
    <w:p>
      <w:r>
        <w:rPr>
          <w:rFonts w:ascii="Arial" w:hAnsi="Arial"/>
          <w:b w:val="0"/>
          <w:i w:val="0"/>
          <w:sz w:val="22"/>
        </w:rPr>
        <w:t>Reconciliation runs in three modes for each migration:</w:t>
      </w:r>
    </w:p>
    <w:p>
      <w:pPr>
        <w:pStyle w:val="ListBullet"/>
      </w:pPr>
      <w:r>
        <w:rPr>
          <w:rFonts w:ascii="Arial" w:hAnsi="Arial"/>
          <w:sz w:val="22"/>
        </w:rPr>
        <w:t>Row count: every record extracted is loaded or rejected with documented reason. Variance &gt; 0.1% halts the load</w:t>
      </w:r>
    </w:p>
    <w:p>
      <w:pPr>
        <w:pStyle w:val="ListBullet"/>
      </w:pPr>
      <w:r>
        <w:rPr>
          <w:rFonts w:ascii="Arial" w:hAnsi="Arial"/>
          <w:sz w:val="22"/>
        </w:rPr>
        <w:t>Sum total: customer credit limit sum, open AR sum — must match legacy to ±0.5%</w:t>
      </w:r>
    </w:p>
    <w:p>
      <w:pPr>
        <w:pStyle w:val="ListBullet"/>
      </w:pPr>
      <w:r>
        <w:rPr>
          <w:rFonts w:ascii="Arial" w:hAnsi="Arial"/>
          <w:sz w:val="22"/>
        </w:rPr>
        <w:t>Functional walk: 25 sample customers walked through full transaction history by Commercial Director's team</w:t>
      </w:r>
    </w:p>
    <w:p>
      <w:r>
        <w:rPr>
          <w:rFonts w:ascii="Arial" w:hAnsi="Arial"/>
          <w:b w:val="0"/>
          <w:i w:val="0"/>
          <w:sz w:val="22"/>
        </w:rPr>
        <w:t>Reconciliation report produced in Power BI immediately after each load. A 'green' result is pre-condition for sign-off.</w:t>
      </w:r>
    </w:p>
    <w:p>
      <w:pPr>
        <w:pStyle w:val="Heading1"/>
      </w:pPr>
      <w:r>
        <w:t>6. Mock load schedule &amp; exit criteria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Mock</w:t>
            </w:r>
          </w:p>
        </w:tc>
        <w:tc>
          <w:tcPr>
            <w:tcW w:type="dxa" w:w="1701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When</w:t>
            </w:r>
          </w:p>
        </w:tc>
        <w:tc>
          <w:tcPr>
            <w:tcW w:type="dxa" w:w="2551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Purpose</w:t>
            </w:r>
          </w:p>
        </w:tc>
        <w:tc>
          <w:tcPr>
            <w:tcW w:type="dxa" w:w="3118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Exit criterion</w:t>
            </w:r>
          </w:p>
        </w:tc>
      </w:tr>
      <w:tr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Mock Load 1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>
              <w:t>S13 mid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55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Quality assessment</w:t>
            </w:r>
          </w:p>
        </w:tc>
        <w:tc>
          <w:tcPr>
            <w:tcW w:type="dxa" w:w="311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All issues categorised; cleansing plan signed off by Data Owner</w:t>
            </w:r>
          </w:p>
        </w:tc>
      </w:tr>
      <w:tr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Mock Load 2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>
              <w:t>Testing (S14) entry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55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Functional rehearsal</w:t>
            </w:r>
          </w:p>
        </w:tc>
        <w:tc>
          <w:tcPr>
            <w:tcW w:type="dxa" w:w="311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100% load success; reconciliation passes; SIT can use the data</w:t>
            </w:r>
          </w:p>
        </w:tc>
      </w:tr>
      <w:tr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Mock Load 3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>
              <w:t>S14 late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55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Performance + cutover rehearsal</w:t>
            </w:r>
          </w:p>
        </w:tc>
        <w:tc>
          <w:tcPr>
            <w:tcW w:type="dxa" w:w="311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Loads in cutover window; reconciliation passes</w:t>
            </w:r>
          </w:p>
        </w:tc>
      </w:tr>
    </w:tbl>
    <w:p/>
    <w:p>
      <w:pPr>
        <w:pStyle w:val="Heading1"/>
      </w:pPr>
      <w:r>
        <w:t>7. Cutover migration plan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Activity</w:t>
            </w:r>
          </w:p>
        </w:tc>
        <w:tc>
          <w:tcPr>
            <w:tcW w:type="dxa" w:w="2268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Time (hrs)</w:t>
            </w:r>
          </w:p>
        </w:tc>
        <w:tc>
          <w:tcPr>
            <w:tcW w:type="dxa" w:w="34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Master data freeze in Oracle EBS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T-5 days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Commercial Director (lock customer maintenance)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Final delta extract — customer master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T-1 18:00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SI Data Migration Lead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Master customer load to D365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T0 00:30 (4 hrs)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SI Data Migration Lead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Open AR load (open invoices, credit notes)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T0 04:30 (3 hrs)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SI Data Migration Lead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Reconciliation run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T0 08:00 (1 hr)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SI Data Migration Lead + Group FC for sign-off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Sample functional walk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T0 09:00 (3 hrs)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Commercial team — 25-customer sample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Sign-off &amp; release for go/no-go #1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T0 14:00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Data Owner + Group FC</w:t>
            </w:r>
          </w:p>
        </w:tc>
      </w:tr>
    </w:tbl>
    <w:p/>
    <w:p>
      <w:pPr>
        <w:pStyle w:val="Heading1"/>
      </w:pPr>
      <w:r>
        <w:t>8. Risks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969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Risk</w:t>
            </w:r>
          </w:p>
        </w:tc>
        <w:tc>
          <w:tcPr>
            <w:tcW w:type="dxa" w:w="51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Mitigation</w:t>
            </w:r>
          </w:p>
        </w:tc>
      </w:tr>
      <w:tr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Mock load 1 reveals significant duplicate population</w:t>
            </w:r>
          </w:p>
        </w:tc>
        <w:tc>
          <w:tcPr>
            <w:tcW w:type="dxa" w:w="51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Cleansing pod sized to handle 5%+ duplicate rate</w:t>
            </w:r>
          </w:p>
        </w:tc>
      </w:tr>
      <w:tr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Open AR balances drift between extract and load</w:t>
            </w:r>
          </w:p>
        </w:tc>
        <w:tc>
          <w:tcPr>
            <w:tcW w:type="dxa" w:w="51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Use exact-time delta extract; reconcile to penny</w:t>
            </w:r>
          </w:p>
        </w:tc>
      </w:tr>
      <w:tr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Customer hierarchy parent missing</w:t>
            </w:r>
          </w:p>
        </w:tc>
        <w:tc>
          <w:tcPr>
            <w:tcW w:type="dxa" w:w="51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Validate hierarchies in source pre-migration; fix in source</w:t>
            </w:r>
          </w:p>
        </w:tc>
      </w:tr>
      <w:tr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Address quality below threshold</w:t>
            </w:r>
          </w:p>
        </w:tc>
        <w:tc>
          <w:tcPr>
            <w:tcW w:type="dxa" w:w="51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>
              <w:t>Geo-validation tool deployed at S13; cleanse pre-mock-load-2</w:t>
            </w:r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Cleansing not complete by mock load 3</w:t>
            </w:r>
          </w:p>
        </w:tc>
        <w:tc>
          <w:tcPr>
            <w:tcW w:type="dxa" w:w="51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Tracked weekly to Data Owner; escalate to SteerCo if slipping</w:t>
            </w:r>
          </w:p>
        </w:tc>
      </w:tr>
    </w:tbl>
    <w:p/>
    <w:p>
      <w:pPr>
        <w:pStyle w:val="Heading1"/>
      </w:pPr>
      <w:r>
        <w:t>9. Sign-off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Role</w:t>
            </w:r>
          </w:p>
        </w:tc>
        <w:tc>
          <w:tcPr>
            <w:tcW w:type="dxa" w:w="34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Name</w:t>
            </w:r>
          </w:p>
        </w:tc>
        <w:tc>
          <w:tcPr>
            <w:tcW w:type="dxa" w:w="2268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Date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Data Owner (Commercial Director)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SI Data Migration Lead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Group Financial Controller (AR)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Solution Architect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Design Authority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</w:tbl>
    <w:p/>
    <w:sectPr w:rsidR="00FC693F" w:rsidRPr="0006063C" w:rsidSect="00034616">
      <w:headerReference w:type="default" r:id="rId9"/>
      <w:headerReference w:type="first" r:id="rId10"/>
      <w:headerReference w:type="even" r:id="rId11"/>
      <w:footerReference w:type="default" r:id="rId12"/>
      <w:footerReference w:type="first" r:id="rId13"/>
      <w:footerReference w:type="even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Arial" w:hAnsi="Arial"/>
      <w:b/>
      <w:bCs/>
      <w:color w:val="1E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20"/>
      <w:outlineLvl w:val="1"/>
    </w:pPr>
    <w:rPr>
      <w:rFonts w:asciiTheme="majorHAnsi" w:eastAsiaTheme="majorEastAsia" w:hAnsiTheme="majorHAnsi" w:cstheme="majorBidi" w:ascii="Arial" w:hAnsi="Arial"/>
      <w:b/>
      <w:bCs/>
      <w:color w:val="1E276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120"/>
      <w:outlineLvl w:val="2"/>
    </w:pPr>
    <w:rPr>
      <w:rFonts w:asciiTheme="majorHAnsi" w:eastAsiaTheme="majorEastAsia" w:hAnsiTheme="majorHAnsi" w:cstheme="majorBidi" w:ascii="Arial" w:hAnsi="Arial"/>
      <w:b/>
      <w:bCs/>
      <w:color w:val="1E276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80" w:after="120"/>
      <w:outlineLvl w:val="3"/>
    </w:pPr>
    <w:rPr>
      <w:rFonts w:asciiTheme="majorHAnsi" w:eastAsiaTheme="majorEastAsia" w:hAnsiTheme="majorHAnsi" w:cstheme="majorBidi" w:ascii="Arial" w:hAnsi="Arial"/>
      <w:b/>
      <w:bCs/>
      <w:i/>
      <w:iCs/>
      <w:color w:val="1E276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