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color w:val="1E2761"/>
          <w:sz w:val="60"/>
        </w:rPr>
        <w:t>Lessons Learned</w:t>
      </w:r>
    </w:p>
    <w:p>
      <w:r>
        <w:rPr>
          <w:rFonts w:ascii="Arial" w:hAnsi="Arial"/>
          <w:i/>
          <w:color w:val="595959"/>
          <w:sz w:val="26"/>
        </w:rPr>
        <w:t>Stage 18-19. Post-implementation review. What went well, what didn't, what to repeat, what to change.</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Lessons Learned</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Manager (with Business Architect support)</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w:t>
      </w:r>
    </w:p>
    <w:p>
      <w:r>
        <w:rPr>
          <w:rFonts w:ascii="Arial" w:hAnsi="Arial"/>
          <w:b w:val="0"/>
          <w:i w:val="0"/>
          <w:sz w:val="22"/>
        </w:rPr>
        <w:t>Captures programme-level learnings to inform Phase 2 of the ERP roadmap and other major transformations. Compiled from stage-end retrospectives, hypercare review and a final facilitated workshop with the core programme team plus representatives from each business unit. Tabled at the SteerCo at Benefits Realisation &amp; Review (S18) close.</w:t>
      </w:r>
    </w:p>
    <w:tbl>
      <w:tblPr>
        <w:tblW w:type="auto" w:w="0"/>
        <w:tblLook w:firstColumn="1" w:firstRow="1" w:lastColumn="0" w:lastRow="0" w:noHBand="0" w:noVBand="1" w:val="04A0"/>
      </w:tblPr>
      <w:tblGrid>
        <w:gridCol w:w="8640"/>
      </w:tblGrid>
      <w:tr>
        <w:tc>
          <w:tcPr>
            <w:tcW w:type="dxa" w:w="8640"/>
            <w:shd w:val="clear" w:color="auto" w:fill="DCE6F1"/>
            <w:tcBorders>
              <w:top w:val="single" w:sz="8" w:color="2E75B6"/>
              <w:left w:val="single" w:sz="8" w:color="2E75B6"/>
              <w:bottom w:val="single" w:sz="8" w:color="2E75B6"/>
              <w:right w:val="single" w:sz="8" w:color="2E75B6"/>
            </w:tcBorders>
          </w:tcPr>
          <w:p>
            <w:r/>
            <w:r>
              <w:rPr>
                <w:rFonts w:ascii="Arial" w:hAnsi="Arial"/>
                <w:b/>
                <w:color w:val="1E2761"/>
                <w:sz w:val="22"/>
              </w:rPr>
              <w:t>Tone of this document</w:t>
            </w:r>
          </w:p>
          <w:p>
            <w:r>
              <w:rPr>
                <w:rFonts w:ascii="Arial" w:hAnsi="Arial"/>
                <w:sz w:val="21"/>
              </w:rPr>
              <w:t>Lessons learned only matter if they are honest. We have written this as if the next programme team is sitting opposite us. Where something went wrong, we say so. Where we got lucky, we say so. We have avoided platitudes and process fetishism.</w:t>
            </w:r>
          </w:p>
        </w:tc>
      </w:tr>
    </w:tbl>
    <w:p/>
    <w:p>
      <w:pPr>
        <w:pStyle w:val="Heading1"/>
      </w:pPr>
      <w:r>
        <w:t>2. Headlines</w:t>
      </w:r>
    </w:p>
    <w:p>
      <w:r>
        <w:rPr>
          <w:rFonts w:ascii="Arial" w:hAnsi="Arial"/>
          <w:b w:val="0"/>
          <w:i w:val="0"/>
          <w:sz w:val="22"/>
        </w:rPr>
        <w:t>Three things to take into Phase 2:</w:t>
      </w:r>
    </w:p>
    <w:p>
      <w:pPr>
        <w:pStyle w:val="ListBullet"/>
      </w:pPr>
      <w:r>
        <w:rPr>
          <w:rFonts w:ascii="Arial" w:hAnsi="Arial"/>
          <w:sz w:val="22"/>
        </w:rPr>
        <w:t>1. Treat data quality as a business investment from Discovery (S11) onwards, not a Build &amp; Configuration (S13) surprise.</w:t>
      </w:r>
    </w:p>
    <w:p>
      <w:pPr>
        <w:pStyle w:val="ListBullet"/>
      </w:pPr>
      <w:r>
        <w:rPr>
          <w:rFonts w:ascii="Arial" w:hAnsi="Arial"/>
          <w:sz w:val="22"/>
        </w:rPr>
        <w:t>2. The Pre-UAT step exists for a reason. Skipping it costs more than running it.</w:t>
      </w:r>
    </w:p>
    <w:p>
      <w:pPr>
        <w:pStyle w:val="ListBullet"/>
      </w:pPr>
      <w:r>
        <w:rPr>
          <w:rFonts w:ascii="Arial" w:hAnsi="Arial"/>
          <w:sz w:val="22"/>
        </w:rPr>
        <w:t>3. Hypercare resourcing must be contracted by name, not by role. Generic SI commitments don't survive contact with the SI's next sales pipeline.</w:t>
      </w:r>
    </w:p>
    <w:p>
      <w:pPr>
        <w:pStyle w:val="Heading1"/>
      </w:pPr>
      <w:r>
        <w:t>3. What went well</w:t>
      </w:r>
    </w:p>
    <w:tbl>
      <w:tblPr>
        <w:tblW w:type="auto" w:w="0"/>
        <w:tblLayout w:type="fixed"/>
        <w:tblLook w:firstColumn="1" w:firstRow="1" w:lastColumn="0" w:lastRow="0" w:noHBand="0" w:noVBand="1" w:val="04A0"/>
      </w:tblPr>
      <w:tblGrid>
        <w:gridCol w:w="2160"/>
        <w:gridCol w:w="2160"/>
        <w:gridCol w:w="2160"/>
        <w:gridCol w:w="2160"/>
      </w:tblGrid>
      <w:tr>
        <w:tc>
          <w:tcPr>
            <w:tcW w:type="dxa" w:w="56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What we did</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Why it worked</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Recommendation for next programme</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1</w:t>
            </w:r>
          </w:p>
        </w:tc>
        <w:tc>
          <w:tcPr>
            <w:tcW w:type="dxa" w:w="2268"/>
            <w:tcBorders>
              <w:top w:val="single" w:sz="6" w:color="BFBFBF"/>
              <w:left w:val="single" w:sz="6" w:color="BFBFBF"/>
              <w:bottom w:val="single" w:sz="6" w:color="BFBFBF"/>
              <w:right w:val="single" w:sz="6" w:color="BFBFBF"/>
            </w:tcBorders>
          </w:tcPr>
          <w:p>
            <w:r>
              <w:t>Named Process Owners by Programme Setup &amp; Mobilisation (S10) entry — required as a gate condition</w:t>
            </w:r>
            <w:r>
              <w:rPr>
                <w:rFonts w:ascii="Arial" w:hAnsi="Arial"/>
                <w:sz w:val="20"/>
              </w:rPr>
            </w:r>
          </w:p>
        </w:tc>
        <w:tc>
          <w:tcPr>
            <w:tcW w:type="dxa" w:w="2835"/>
            <w:tcBorders>
              <w:top w:val="single" w:sz="6" w:color="BFBFBF"/>
              <w:left w:val="single" w:sz="6" w:color="BFBFBF"/>
              <w:bottom w:val="single" w:sz="6" w:color="BFBFBF"/>
              <w:right w:val="single" w:sz="6" w:color="BFBFBF"/>
            </w:tcBorders>
          </w:tcPr>
          <w:p>
            <w:r/>
            <w:r>
              <w:rPr>
                <w:rFonts w:ascii="Arial" w:hAnsi="Arial"/>
                <w:sz w:val="20"/>
              </w:rPr>
              <w:t>Discovery workshops were attended by decision-makers, not deputies, eliminating the rework loop we saw on previous programmes</w:t>
            </w:r>
          </w:p>
        </w:tc>
        <w:tc>
          <w:tcPr>
            <w:tcW w:type="dxa" w:w="3402"/>
            <w:tcBorders>
              <w:top w:val="single" w:sz="6" w:color="BFBFBF"/>
              <w:left w:val="single" w:sz="6" w:color="BFBFBF"/>
              <w:bottom w:val="single" w:sz="6" w:color="BFBFBF"/>
              <w:right w:val="single" w:sz="6" w:color="BFBFBF"/>
            </w:tcBorders>
          </w:tcPr>
          <w:p>
            <w:r>
              <w:t>Make this an explicit S10 entry criterion. Don't soft-pedal.</w:t>
            </w:r>
            <w:r>
              <w:rPr>
                <w:rFonts w:ascii="Arial" w:hAnsi="Arial"/>
                <w:sz w:val="20"/>
              </w:rPr>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2</w:t>
            </w:r>
          </w:p>
        </w:tc>
        <w:tc>
          <w:tcPr>
            <w:tcW w:type="dxa" w:w="2268"/>
            <w:tcBorders>
              <w:top w:val="single" w:sz="6" w:color="BFBFBF"/>
              <w:left w:val="single" w:sz="6" w:color="BFBFBF"/>
              <w:bottom w:val="single" w:sz="6" w:color="BFBFBF"/>
              <w:right w:val="single" w:sz="6" w:color="BFBFBF"/>
            </w:tcBorders>
          </w:tcPr>
          <w:p>
            <w:r/>
            <w:r>
              <w:rPr>
                <w:rFonts w:ascii="Arial" w:hAnsi="Arial"/>
                <w:sz w:val="20"/>
              </w:rPr>
              <w:t>Stood up the cleansing pod ahead of mock load 1</w:t>
            </w:r>
          </w:p>
        </w:tc>
        <w:tc>
          <w:tcPr>
            <w:tcW w:type="dxa" w:w="2835"/>
            <w:tcBorders>
              <w:top w:val="single" w:sz="6" w:color="BFBFBF"/>
              <w:left w:val="single" w:sz="6" w:color="BFBFBF"/>
              <w:bottom w:val="single" w:sz="6" w:color="BFBFBF"/>
              <w:right w:val="single" w:sz="6" w:color="BFBFBF"/>
            </w:tcBorders>
          </w:tcPr>
          <w:p>
            <w:r/>
            <w:r>
              <w:rPr>
                <w:rFonts w:ascii="Arial" w:hAnsi="Arial"/>
                <w:sz w:val="20"/>
              </w:rPr>
              <w:t>By the time mock load 1 ran, ~30% of the issues were already resolved. The mock then surfaced systemic issues, not gross volume</w:t>
            </w:r>
          </w:p>
        </w:tc>
        <w:tc>
          <w:tcPr>
            <w:tcW w:type="dxa" w:w="3402"/>
            <w:tcBorders>
              <w:top w:val="single" w:sz="6" w:color="BFBFBF"/>
              <w:left w:val="single" w:sz="6" w:color="BFBFBF"/>
              <w:bottom w:val="single" w:sz="6" w:color="BFBFBF"/>
              <w:right w:val="single" w:sz="6" w:color="BFBFBF"/>
            </w:tcBorders>
          </w:tcPr>
          <w:p>
            <w:r/>
            <w:r>
              <w:rPr>
                <w:rFonts w:ascii="Arial" w:hAnsi="Arial"/>
                <w:sz w:val="20"/>
              </w:rPr>
              <w:t>Resource cleansing 8 weeks before mock load 1, not after</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3</w:t>
            </w:r>
          </w:p>
        </w:tc>
        <w:tc>
          <w:tcPr>
            <w:tcW w:type="dxa" w:w="2268"/>
            <w:tcBorders>
              <w:top w:val="single" w:sz="6" w:color="BFBFBF"/>
              <w:left w:val="single" w:sz="6" w:color="BFBFBF"/>
              <w:bottom w:val="single" w:sz="6" w:color="BFBFBF"/>
              <w:right w:val="single" w:sz="6" w:color="BFBFBF"/>
            </w:tcBorders>
          </w:tcPr>
          <w:p>
            <w:r/>
            <w:r>
              <w:rPr>
                <w:rFonts w:ascii="Arial" w:hAnsi="Arial"/>
                <w:sz w:val="20"/>
              </w:rPr>
              <w:t>Pre-UAT cycle (4 weeks) before formal UAT</w:t>
            </w:r>
          </w:p>
        </w:tc>
        <w:tc>
          <w:tcPr>
            <w:tcW w:type="dxa" w:w="2835"/>
            <w:tcBorders>
              <w:top w:val="single" w:sz="6" w:color="BFBFBF"/>
              <w:left w:val="single" w:sz="6" w:color="BFBFBF"/>
              <w:bottom w:val="single" w:sz="6" w:color="BFBFBF"/>
              <w:right w:val="single" w:sz="6" w:color="BFBFBF"/>
            </w:tcBorders>
          </w:tcPr>
          <w:p>
            <w:r/>
            <w:r>
              <w:rPr>
                <w:rFonts w:ascii="Arial" w:hAnsi="Arial"/>
                <w:sz w:val="20"/>
              </w:rPr>
              <w:t>UAT testers found business defects, not script defects. UAT calendar held without compression</w:t>
            </w:r>
          </w:p>
        </w:tc>
        <w:tc>
          <w:tcPr>
            <w:tcW w:type="dxa" w:w="3402"/>
            <w:tcBorders>
              <w:top w:val="single" w:sz="6" w:color="BFBFBF"/>
              <w:left w:val="single" w:sz="6" w:color="BFBFBF"/>
              <w:bottom w:val="single" w:sz="6" w:color="BFBFBF"/>
              <w:right w:val="single" w:sz="6" w:color="BFBFBF"/>
            </w:tcBorders>
          </w:tcPr>
          <w:p>
            <w:r/>
            <w:r>
              <w:rPr>
                <w:rFonts w:ascii="Arial" w:hAnsi="Arial"/>
                <w:sz w:val="20"/>
              </w:rPr>
              <w:t>Hold this even if pressured. It is the highest-leverage 4 weeks in the programme</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4</w:t>
            </w:r>
          </w:p>
        </w:tc>
        <w:tc>
          <w:tcPr>
            <w:tcW w:type="dxa" w:w="2268"/>
            <w:tcBorders>
              <w:top w:val="single" w:sz="6" w:color="BFBFBF"/>
              <w:left w:val="single" w:sz="6" w:color="BFBFBF"/>
              <w:bottom w:val="single" w:sz="6" w:color="BFBFBF"/>
              <w:right w:val="single" w:sz="6" w:color="BFBFBF"/>
            </w:tcBorders>
          </w:tcPr>
          <w:p>
            <w:r/>
            <w:r>
              <w:rPr>
                <w:rFonts w:ascii="Arial" w:hAnsi="Arial"/>
                <w:sz w:val="20"/>
              </w:rPr>
              <w:t>Three full cutover dress rehearsals</w:t>
            </w:r>
          </w:p>
        </w:tc>
        <w:tc>
          <w:tcPr>
            <w:tcW w:type="dxa" w:w="2835"/>
            <w:tcBorders>
              <w:top w:val="single" w:sz="6" w:color="BFBFBF"/>
              <w:left w:val="single" w:sz="6" w:color="BFBFBF"/>
              <w:bottom w:val="single" w:sz="6" w:color="BFBFBF"/>
              <w:right w:val="single" w:sz="6" w:color="BFBFBF"/>
            </w:tcBorders>
          </w:tcPr>
          <w:p>
            <w:r/>
            <w:r>
              <w:rPr>
                <w:rFonts w:ascii="Arial" w:hAnsi="Arial"/>
                <w:sz w:val="20"/>
              </w:rPr>
              <w:t>Rehearsal 1 surfaced a permission issue that would have cost us 6 hours of cutover. Rehearsals 2 and 3 were lower-tension</w:t>
            </w:r>
          </w:p>
        </w:tc>
        <w:tc>
          <w:tcPr>
            <w:tcW w:type="dxa" w:w="3402"/>
            <w:tcBorders>
              <w:top w:val="single" w:sz="6" w:color="BFBFBF"/>
              <w:left w:val="single" w:sz="6" w:color="BFBFBF"/>
              <w:bottom w:val="single" w:sz="6" w:color="BFBFBF"/>
              <w:right w:val="single" w:sz="6" w:color="BFBFBF"/>
            </w:tcBorders>
          </w:tcPr>
          <w:p>
            <w:r/>
            <w:r>
              <w:rPr>
                <w:rFonts w:ascii="Arial" w:hAnsi="Arial"/>
                <w:sz w:val="20"/>
              </w:rPr>
              <w:t>Plan three. Run three. Don't compress to two</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5</w:t>
            </w:r>
          </w:p>
        </w:tc>
        <w:tc>
          <w:tcPr>
            <w:tcW w:type="dxa" w:w="2268"/>
            <w:tcBorders>
              <w:top w:val="single" w:sz="6" w:color="BFBFBF"/>
              <w:left w:val="single" w:sz="6" w:color="BFBFBF"/>
              <w:bottom w:val="single" w:sz="6" w:color="BFBFBF"/>
              <w:right w:val="single" w:sz="6" w:color="BFBFBF"/>
            </w:tcBorders>
          </w:tcPr>
          <w:p>
            <w:r/>
            <w:r>
              <w:rPr>
                <w:rFonts w:ascii="Arial" w:hAnsi="Arial"/>
                <w:sz w:val="20"/>
              </w:rPr>
              <w:t>Independent business UAT testers, not Process Owners</w:t>
            </w:r>
          </w:p>
        </w:tc>
        <w:tc>
          <w:tcPr>
            <w:tcW w:type="dxa" w:w="2835"/>
            <w:tcBorders>
              <w:top w:val="single" w:sz="6" w:color="BFBFBF"/>
              <w:left w:val="single" w:sz="6" w:color="BFBFBF"/>
              <w:bottom w:val="single" w:sz="6" w:color="BFBFBF"/>
              <w:right w:val="single" w:sz="6" w:color="BFBFBF"/>
            </w:tcBorders>
          </w:tcPr>
          <w:p>
            <w:r/>
            <w:r>
              <w:rPr>
                <w:rFonts w:ascii="Arial" w:hAnsi="Arial"/>
                <w:sz w:val="20"/>
              </w:rPr>
              <w:t>Process Owners signed off, business testers executed. No confirmation bias</w:t>
            </w:r>
          </w:p>
        </w:tc>
        <w:tc>
          <w:tcPr>
            <w:tcW w:type="dxa" w:w="3402"/>
            <w:tcBorders>
              <w:top w:val="single" w:sz="6" w:color="BFBFBF"/>
              <w:left w:val="single" w:sz="6" w:color="BFBFBF"/>
              <w:bottom w:val="single" w:sz="6" w:color="BFBFBF"/>
              <w:right w:val="single" w:sz="6" w:color="BFBFBF"/>
            </w:tcBorders>
          </w:tcPr>
          <w:p>
            <w:r/>
            <w:r>
              <w:rPr>
                <w:rFonts w:ascii="Arial" w:hAnsi="Arial"/>
                <w:sz w:val="20"/>
              </w:rPr>
              <w:t>Resist any push to 'save time' by combining roles</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6</w:t>
            </w:r>
          </w:p>
        </w:tc>
        <w:tc>
          <w:tcPr>
            <w:tcW w:type="dxa" w:w="2268"/>
            <w:tcBorders>
              <w:top w:val="single" w:sz="6" w:color="BFBFBF"/>
              <w:left w:val="single" w:sz="6" w:color="BFBFBF"/>
              <w:bottom w:val="single" w:sz="6" w:color="BFBFBF"/>
              <w:right w:val="single" w:sz="6" w:color="BFBFBF"/>
            </w:tcBorders>
          </w:tcPr>
          <w:p>
            <w:r/>
            <w:r>
              <w:rPr>
                <w:rFonts w:ascii="Arial" w:hAnsi="Arial"/>
                <w:sz w:val="20"/>
              </w:rPr>
              <w:t>Daily defect triage from Day 1 of SIT</w:t>
            </w:r>
          </w:p>
        </w:tc>
        <w:tc>
          <w:tcPr>
            <w:tcW w:type="dxa" w:w="2835"/>
            <w:tcBorders>
              <w:top w:val="single" w:sz="6" w:color="BFBFBF"/>
              <w:left w:val="single" w:sz="6" w:color="BFBFBF"/>
              <w:bottom w:val="single" w:sz="6" w:color="BFBFBF"/>
              <w:right w:val="single" w:sz="6" w:color="BFBFBF"/>
            </w:tcBorders>
          </w:tcPr>
          <w:p>
            <w:r/>
            <w:r>
              <w:rPr>
                <w:rFonts w:ascii="Arial" w:hAnsi="Arial"/>
                <w:sz w:val="20"/>
              </w:rPr>
              <w:t>Defects didn't accumulate; aged-defect ratio stayed under 10%</w:t>
            </w:r>
          </w:p>
        </w:tc>
        <w:tc>
          <w:tcPr>
            <w:tcW w:type="dxa" w:w="3402"/>
            <w:tcBorders>
              <w:top w:val="single" w:sz="6" w:color="BFBFBF"/>
              <w:left w:val="single" w:sz="6" w:color="BFBFBF"/>
              <w:bottom w:val="single" w:sz="6" w:color="BFBFBF"/>
              <w:right w:val="single" w:sz="6" w:color="BFBFBF"/>
            </w:tcBorders>
          </w:tcPr>
          <w:p>
            <w:r/>
            <w:r>
              <w:rPr>
                <w:rFonts w:ascii="Arial" w:hAnsi="Arial"/>
                <w:sz w:val="20"/>
              </w:rPr>
              <w:t>Triage every working day, not 'when there's something to triage'</w:t>
            </w:r>
          </w:p>
        </w:tc>
      </w:tr>
    </w:tbl>
    <w:p/>
    <w:p>
      <w:pPr>
        <w:pStyle w:val="Heading1"/>
      </w:pPr>
      <w:r>
        <w:t>4. What didn't go as well</w:t>
      </w:r>
    </w:p>
    <w:tbl>
      <w:tblPr>
        <w:tblW w:type="auto" w:w="0"/>
        <w:tblLayout w:type="fixed"/>
        <w:tblLook w:firstColumn="1" w:firstRow="1" w:lastColumn="0" w:lastRow="0" w:noHBand="0" w:noVBand="1" w:val="04A0"/>
      </w:tblPr>
      <w:tblGrid>
        <w:gridCol w:w="2160"/>
        <w:gridCol w:w="2160"/>
        <w:gridCol w:w="2160"/>
        <w:gridCol w:w="2160"/>
      </w:tblGrid>
      <w:tr>
        <w:tc>
          <w:tcPr>
            <w:tcW w:type="dxa" w:w="567"/>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What happened</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Root cause</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What we'd do differently</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1</w:t>
            </w:r>
          </w:p>
        </w:tc>
        <w:tc>
          <w:tcPr>
            <w:tcW w:type="dxa" w:w="2268"/>
            <w:tcBorders>
              <w:top w:val="single" w:sz="6" w:color="BFBFBF"/>
              <w:left w:val="single" w:sz="6" w:color="BFBFBF"/>
              <w:bottom w:val="single" w:sz="6" w:color="BFBFBF"/>
              <w:right w:val="single" w:sz="6" w:color="BFBFBF"/>
            </w:tcBorders>
          </w:tcPr>
          <w:p>
            <w:r>
              <w:t>SI firm pricing at Solution Design &amp; Full Business Case (S12) was 14% above the S9 ROM</w:t>
            </w:r>
            <w:r>
              <w:rPr>
                <w:rFonts w:ascii="Arial" w:hAnsi="Arial"/>
                <w:sz w:val="20"/>
              </w:rPr>
            </w:r>
          </w:p>
        </w:tc>
        <w:tc>
          <w:tcPr>
            <w:tcW w:type="dxa" w:w="2835"/>
            <w:tcBorders>
              <w:top w:val="single" w:sz="6" w:color="BFBFBF"/>
              <w:left w:val="single" w:sz="6" w:color="BFBFBF"/>
              <w:bottom w:val="single" w:sz="6" w:color="BFBFBF"/>
              <w:right w:val="single" w:sz="6" w:color="BFBFBF"/>
            </w:tcBorders>
          </w:tcPr>
          <w:p>
            <w:r/>
            <w:r>
              <w:rPr>
                <w:rFonts w:ascii="Arial" w:hAnsi="Arial"/>
                <w:sz w:val="20"/>
              </w:rPr>
              <w:t>Selection ROM didn't fully account for integration complexity which only emerged in Discovery</w:t>
            </w:r>
          </w:p>
        </w:tc>
        <w:tc>
          <w:tcPr>
            <w:tcW w:type="dxa" w:w="3402"/>
            <w:tcBorders>
              <w:top w:val="single" w:sz="6" w:color="BFBFBF"/>
              <w:left w:val="single" w:sz="6" w:color="BFBFBF"/>
              <w:bottom w:val="single" w:sz="6" w:color="BFBFBF"/>
              <w:right w:val="single" w:sz="6" w:color="BFBFBF"/>
            </w:tcBorders>
          </w:tcPr>
          <w:p>
            <w:r>
              <w:t>Tighten S9 ROM by requiring integration-level inputs (not just process-level scope)</w:t>
            </w:r>
            <w:r>
              <w:rPr>
                <w:rFonts w:ascii="Arial" w:hAnsi="Arial"/>
                <w:sz w:val="20"/>
              </w:rPr>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2</w:t>
            </w:r>
          </w:p>
        </w:tc>
        <w:tc>
          <w:tcPr>
            <w:tcW w:type="dxa" w:w="2268"/>
            <w:tcBorders>
              <w:top w:val="single" w:sz="6" w:color="BFBFBF"/>
              <w:left w:val="single" w:sz="6" w:color="BFBFBF"/>
              <w:bottom w:val="single" w:sz="6" w:color="BFBFBF"/>
              <w:right w:val="single" w:sz="6" w:color="BFBFBF"/>
            </w:tcBorders>
          </w:tcPr>
          <w:p>
            <w:r/>
            <w:r>
              <w:rPr>
                <w:rFonts w:ascii="Arial" w:hAnsi="Arial"/>
                <w:sz w:val="20"/>
              </w:rPr>
              <w:t>Hypercare resourcing was generic in the MSA</w:t>
            </w:r>
          </w:p>
        </w:tc>
        <w:tc>
          <w:tcPr>
            <w:tcW w:type="dxa" w:w="2835"/>
            <w:tcBorders>
              <w:top w:val="single" w:sz="6" w:color="BFBFBF"/>
              <w:left w:val="single" w:sz="6" w:color="BFBFBF"/>
              <w:bottom w:val="single" w:sz="6" w:color="BFBFBF"/>
              <w:right w:val="single" w:sz="6" w:color="BFBFBF"/>
            </w:tcBorders>
          </w:tcPr>
          <w:p>
            <w:r/>
            <w:r>
              <w:rPr>
                <w:rFonts w:ascii="Arial" w:hAnsi="Arial"/>
                <w:sz w:val="20"/>
              </w:rPr>
              <w:t>Contract said 'team of 5 for 8 weeks' but didn't name individuals. Two left for the next engagement on Day 8</w:t>
            </w:r>
          </w:p>
        </w:tc>
        <w:tc>
          <w:tcPr>
            <w:tcW w:type="dxa" w:w="3402"/>
            <w:tcBorders>
              <w:top w:val="single" w:sz="6" w:color="BFBFBF"/>
              <w:left w:val="single" w:sz="6" w:color="BFBFBF"/>
              <w:bottom w:val="single" w:sz="6" w:color="BFBFBF"/>
              <w:right w:val="single" w:sz="6" w:color="BFBFBF"/>
            </w:tcBorders>
          </w:tcPr>
          <w:p>
            <w:r/>
            <w:r>
              <w:rPr>
                <w:rFonts w:ascii="Arial" w:hAnsi="Arial"/>
                <w:sz w:val="20"/>
              </w:rPr>
              <w:t>Name individuals in the MSA. Penalty clauses for substitution</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3</w:t>
            </w:r>
          </w:p>
        </w:tc>
        <w:tc>
          <w:tcPr>
            <w:tcW w:type="dxa" w:w="2268"/>
            <w:tcBorders>
              <w:top w:val="single" w:sz="6" w:color="BFBFBF"/>
              <w:left w:val="single" w:sz="6" w:color="BFBFBF"/>
              <w:bottom w:val="single" w:sz="6" w:color="BFBFBF"/>
              <w:right w:val="single" w:sz="6" w:color="BFBFBF"/>
            </w:tcBorders>
          </w:tcPr>
          <w:p>
            <w:r/>
            <w:r>
              <w:rPr>
                <w:rFonts w:ascii="Arial" w:hAnsi="Arial"/>
                <w:sz w:val="20"/>
              </w:rPr>
              <w:t>Master data governance roles ramped late</w:t>
            </w:r>
          </w:p>
        </w:tc>
        <w:tc>
          <w:tcPr>
            <w:tcW w:type="dxa" w:w="2835"/>
            <w:tcBorders>
              <w:top w:val="single" w:sz="6" w:color="BFBFBF"/>
              <w:left w:val="single" w:sz="6" w:color="BFBFBF"/>
              <w:bottom w:val="single" w:sz="6" w:color="BFBFBF"/>
              <w:right w:val="single" w:sz="6" w:color="BFBFBF"/>
            </w:tcBorders>
          </w:tcPr>
          <w:p>
            <w:r>
              <w:t>Data Owners were named formally but not trained or empowered until S14, then had to absorb mock load 1 issues retrospectively</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t>Data Owner inductions in S11; mock load 1 review is THEIR meeting</w:t>
            </w:r>
            <w:r>
              <w:rPr>
                <w:rFonts w:ascii="Arial" w:hAnsi="Arial"/>
                <w:sz w:val="20"/>
              </w:rPr>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4</w:t>
            </w:r>
          </w:p>
        </w:tc>
        <w:tc>
          <w:tcPr>
            <w:tcW w:type="dxa" w:w="2268"/>
            <w:tcBorders>
              <w:top w:val="single" w:sz="6" w:color="BFBFBF"/>
              <w:left w:val="single" w:sz="6" w:color="BFBFBF"/>
              <w:bottom w:val="single" w:sz="6" w:color="BFBFBF"/>
              <w:right w:val="single" w:sz="6" w:color="BFBFBF"/>
            </w:tcBorders>
          </w:tcPr>
          <w:p>
            <w:r/>
            <w:r>
              <w:rPr>
                <w:rFonts w:ascii="Arial" w:hAnsi="Arial"/>
                <w:sz w:val="20"/>
              </w:rPr>
              <w:t>Customer-facing comms (Wave 4) lacked Legal review until late</w:t>
            </w:r>
          </w:p>
        </w:tc>
        <w:tc>
          <w:tcPr>
            <w:tcW w:type="dxa" w:w="2835"/>
            <w:tcBorders>
              <w:top w:val="single" w:sz="6" w:color="BFBFBF"/>
              <w:left w:val="single" w:sz="6" w:color="BFBFBF"/>
              <w:bottom w:val="single" w:sz="6" w:color="BFBFBF"/>
              <w:right w:val="single" w:sz="6" w:color="BFBFBF"/>
            </w:tcBorders>
          </w:tcPr>
          <w:p>
            <w:r/>
            <w:r>
              <w:rPr>
                <w:rFonts w:ascii="Arial" w:hAnsi="Arial"/>
                <w:sz w:val="20"/>
              </w:rPr>
              <w:t>Comms team treated Wave 4 as 'standard customer letter' — Legal flagged regulatory implications 5 days before send</w:t>
            </w:r>
          </w:p>
        </w:tc>
        <w:tc>
          <w:tcPr>
            <w:tcW w:type="dxa" w:w="3402"/>
            <w:tcBorders>
              <w:top w:val="single" w:sz="6" w:color="BFBFBF"/>
              <w:left w:val="single" w:sz="6" w:color="BFBFBF"/>
              <w:bottom w:val="single" w:sz="6" w:color="BFBFBF"/>
              <w:right w:val="single" w:sz="6" w:color="BFBFBF"/>
            </w:tcBorders>
          </w:tcPr>
          <w:p>
            <w:r/>
            <w:r>
              <w:rPr>
                <w:rFonts w:ascii="Arial" w:hAnsi="Arial"/>
                <w:sz w:val="20"/>
              </w:rPr>
              <w:t>Build Legal sign-off into Wave 4 as a pre-condition; it's a cheap fix</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5</w:t>
            </w:r>
          </w:p>
        </w:tc>
        <w:tc>
          <w:tcPr>
            <w:tcW w:type="dxa" w:w="2268"/>
            <w:tcBorders>
              <w:top w:val="single" w:sz="6" w:color="BFBFBF"/>
              <w:left w:val="single" w:sz="6" w:color="BFBFBF"/>
              <w:bottom w:val="single" w:sz="6" w:color="BFBFBF"/>
              <w:right w:val="single" w:sz="6" w:color="BFBFBF"/>
            </w:tcBorders>
          </w:tcPr>
          <w:p>
            <w:r/>
            <w:r>
              <w:rPr>
                <w:rFonts w:ascii="Arial" w:hAnsi="Arial"/>
                <w:sz w:val="20"/>
              </w:rPr>
              <w:t>Mid-cutover rollback was discussed but never tested in PROD-MIRROR</w:t>
            </w:r>
          </w:p>
        </w:tc>
        <w:tc>
          <w:tcPr>
            <w:tcW w:type="dxa" w:w="2835"/>
            <w:tcBorders>
              <w:top w:val="single" w:sz="6" w:color="BFBFBF"/>
              <w:left w:val="single" w:sz="6" w:color="BFBFBF"/>
              <w:bottom w:val="single" w:sz="6" w:color="BFBFBF"/>
              <w:right w:val="single" w:sz="6" w:color="BFBFBF"/>
            </w:tcBorders>
          </w:tcPr>
          <w:p>
            <w:r/>
            <w:r>
              <w:rPr>
                <w:rFonts w:ascii="Arial" w:hAnsi="Arial"/>
                <w:sz w:val="20"/>
              </w:rPr>
              <w:t>We tested forward path through three rehearsals but never the 'undo' path. Lucky we didn't need it</w:t>
            </w:r>
          </w:p>
        </w:tc>
        <w:tc>
          <w:tcPr>
            <w:tcW w:type="dxa" w:w="3402"/>
            <w:tcBorders>
              <w:top w:val="single" w:sz="6" w:color="BFBFBF"/>
              <w:left w:val="single" w:sz="6" w:color="BFBFBF"/>
              <w:bottom w:val="single" w:sz="6" w:color="BFBFBF"/>
              <w:right w:val="single" w:sz="6" w:color="BFBFBF"/>
            </w:tcBorders>
          </w:tcPr>
          <w:p>
            <w:r/>
            <w:r>
              <w:rPr>
                <w:rFonts w:ascii="Arial" w:hAnsi="Arial"/>
                <w:sz w:val="20"/>
              </w:rPr>
              <w:t>Test rollback in at least one rehearsal. Even if you trust the forward path</w:t>
            </w:r>
          </w:p>
        </w:tc>
      </w:tr>
      <w:tr>
        <w:tc>
          <w:tcPr>
            <w:tcW w:type="dxa" w:w="567"/>
            <w:tcBorders>
              <w:top w:val="single" w:sz="6" w:color="BFBFBF"/>
              <w:left w:val="single" w:sz="6" w:color="BFBFBF"/>
              <w:bottom w:val="single" w:sz="6" w:color="BFBFBF"/>
              <w:right w:val="single" w:sz="6" w:color="BFBFBF"/>
            </w:tcBorders>
          </w:tcPr>
          <w:p>
            <w:r/>
            <w:r>
              <w:rPr>
                <w:rFonts w:ascii="Arial" w:hAnsi="Arial"/>
                <w:sz w:val="20"/>
              </w:rPr>
              <w:t>6</w:t>
            </w:r>
          </w:p>
        </w:tc>
        <w:tc>
          <w:tcPr>
            <w:tcW w:type="dxa" w:w="2268"/>
            <w:tcBorders>
              <w:top w:val="single" w:sz="6" w:color="BFBFBF"/>
              <w:left w:val="single" w:sz="6" w:color="BFBFBF"/>
              <w:bottom w:val="single" w:sz="6" w:color="BFBFBF"/>
              <w:right w:val="single" w:sz="6" w:color="BFBFBF"/>
            </w:tcBorders>
          </w:tcPr>
          <w:p>
            <w:r/>
            <w:r>
              <w:rPr>
                <w:rFonts w:ascii="Arial" w:hAnsi="Arial"/>
                <w:sz w:val="20"/>
              </w:rPr>
              <w:t>First period close took 8 working days vs target of 5</w:t>
            </w:r>
          </w:p>
        </w:tc>
        <w:tc>
          <w:tcPr>
            <w:tcW w:type="dxa" w:w="2835"/>
            <w:tcBorders>
              <w:top w:val="single" w:sz="6" w:color="BFBFBF"/>
              <w:left w:val="single" w:sz="6" w:color="BFBFBF"/>
              <w:bottom w:val="single" w:sz="6" w:color="BFBFBF"/>
              <w:right w:val="single" w:sz="6" w:color="BFBFBF"/>
            </w:tcBorders>
          </w:tcPr>
          <w:p>
            <w:r/>
            <w:r>
              <w:rPr>
                <w:rFonts w:ascii="Arial" w:hAnsi="Arial"/>
                <w:sz w:val="20"/>
              </w:rPr>
              <w:t>Power BI report library wasn't fully operational; finance reconciled to legacy reports manually</w:t>
            </w:r>
          </w:p>
        </w:tc>
        <w:tc>
          <w:tcPr>
            <w:tcW w:type="dxa" w:w="3402"/>
            <w:tcBorders>
              <w:top w:val="single" w:sz="6" w:color="BFBFBF"/>
              <w:left w:val="single" w:sz="6" w:color="BFBFBF"/>
              <w:bottom w:val="single" w:sz="6" w:color="BFBFBF"/>
              <w:right w:val="single" w:sz="6" w:color="BFBFBF"/>
            </w:tcBorders>
          </w:tcPr>
          <w:p>
            <w:r/>
            <w:r>
              <w:rPr>
                <w:rFonts w:ascii="Arial" w:hAnsi="Arial"/>
                <w:sz w:val="20"/>
              </w:rPr>
              <w:t>Reporting is part of go-live readiness, not 'something we'll fix in hypercare'</w:t>
            </w:r>
          </w:p>
        </w:tc>
      </w:tr>
    </w:tbl>
    <w:p/>
    <w:p>
      <w:pPr>
        <w:pStyle w:val="Heading1"/>
      </w:pPr>
      <w:r>
        <w:t>5. Surprises (good and bad)</w:t>
      </w:r>
    </w:p>
    <w:tbl>
      <w:tblPr>
        <w:tblW w:type="auto" w:w="0"/>
        <w:tblLayout w:type="fixed"/>
        <w:tblLook w:firstColumn="1" w:firstRow="1" w:lastColumn="0" w:lastRow="0" w:noHBand="0" w:noVBand="1" w:val="04A0"/>
      </w:tblPr>
      <w:tblGrid>
        <w:gridCol w:w="4320"/>
        <w:gridCol w:w="4320"/>
      </w:tblGrid>
      <w:tr>
        <w:tc>
          <w:tcPr>
            <w:tcW w:type="dxa" w:w="396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Surprise</w:t>
            </w:r>
          </w:p>
        </w:tc>
        <w:tc>
          <w:tcPr>
            <w:tcW w:type="dxa" w:w="51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Note</w:t>
            </w:r>
          </w:p>
        </w:tc>
      </w:tr>
      <w:tr>
        <w:tc>
          <w:tcPr>
            <w:tcW w:type="dxa" w:w="3969"/>
            <w:tcBorders>
              <w:top w:val="single" w:sz="6" w:color="BFBFBF"/>
              <w:left w:val="single" w:sz="6" w:color="BFBFBF"/>
              <w:bottom w:val="single" w:sz="6" w:color="BFBFBF"/>
              <w:right w:val="single" w:sz="6" w:color="BFBFBF"/>
            </w:tcBorders>
          </w:tcPr>
          <w:p>
            <w:r/>
            <w:r>
              <w:rPr>
                <w:rFonts w:ascii="Arial" w:hAnsi="Arial"/>
                <w:sz w:val="20"/>
              </w:rPr>
              <w:t>Touchless AP processing hit 73% in month 2 — ahead of plan</w:t>
            </w:r>
          </w:p>
        </w:tc>
        <w:tc>
          <w:tcPr>
            <w:tcW w:type="dxa" w:w="5102"/>
            <w:tcBorders>
              <w:top w:val="single" w:sz="6" w:color="BFBFBF"/>
              <w:left w:val="single" w:sz="6" w:color="BFBFBF"/>
              <w:bottom w:val="single" w:sz="6" w:color="BFBFBF"/>
              <w:right w:val="single" w:sz="6" w:color="BFBFBF"/>
            </w:tcBorders>
          </w:tcPr>
          <w:p>
            <w:r/>
            <w:r>
              <w:rPr>
                <w:rFonts w:ascii="Arial" w:hAnsi="Arial"/>
                <w:sz w:val="20"/>
              </w:rPr>
              <w:t>Suggests our Year 2 target of 85% is achievable; consider Phase 2 stretch</w:t>
            </w:r>
          </w:p>
        </w:tc>
      </w:tr>
      <w:tr>
        <w:tc>
          <w:tcPr>
            <w:tcW w:type="dxa" w:w="3969"/>
            <w:tcBorders>
              <w:top w:val="single" w:sz="6" w:color="BFBFBF"/>
              <w:left w:val="single" w:sz="6" w:color="BFBFBF"/>
              <w:bottom w:val="single" w:sz="6" w:color="BFBFBF"/>
              <w:right w:val="single" w:sz="6" w:color="BFBFBF"/>
            </w:tcBorders>
          </w:tcPr>
          <w:p>
            <w:r/>
            <w:r>
              <w:rPr>
                <w:rFonts w:ascii="Arial" w:hAnsi="Arial"/>
                <w:sz w:val="20"/>
              </w:rPr>
              <w:t>End-user training pass rate was 96% first time vs 85% planned</w:t>
            </w:r>
          </w:p>
        </w:tc>
        <w:tc>
          <w:tcPr>
            <w:tcW w:type="dxa" w:w="5102"/>
            <w:tcBorders>
              <w:top w:val="single" w:sz="6" w:color="BFBFBF"/>
              <w:left w:val="single" w:sz="6" w:color="BFBFBF"/>
              <w:bottom w:val="single" w:sz="6" w:color="BFBFBF"/>
              <w:right w:val="single" w:sz="6" w:color="BFBFBF"/>
            </w:tcBorders>
          </w:tcPr>
          <w:p>
            <w:r/>
            <w:r>
              <w:rPr>
                <w:rFonts w:ascii="Arial" w:hAnsi="Arial"/>
                <w:sz w:val="20"/>
              </w:rPr>
              <w:t>Training material quality was very high; share methodology with HR / future programmes</w:t>
            </w:r>
          </w:p>
        </w:tc>
      </w:tr>
      <w:tr>
        <w:tc>
          <w:tcPr>
            <w:tcW w:type="dxa" w:w="3969"/>
            <w:tcBorders>
              <w:top w:val="single" w:sz="6" w:color="BFBFBF"/>
              <w:left w:val="single" w:sz="6" w:color="BFBFBF"/>
              <w:bottom w:val="single" w:sz="6" w:color="BFBFBF"/>
              <w:right w:val="single" w:sz="6" w:color="BFBFBF"/>
            </w:tcBorders>
          </w:tcPr>
          <w:p>
            <w:r/>
            <w:r>
              <w:rPr>
                <w:rFonts w:ascii="Arial" w:hAnsi="Arial"/>
                <w:sz w:val="20"/>
              </w:rPr>
              <w:t>EDI cutover for top-30 customers was smooth despite our nervousness</w:t>
            </w:r>
          </w:p>
        </w:tc>
        <w:tc>
          <w:tcPr>
            <w:tcW w:type="dxa" w:w="5102"/>
            <w:tcBorders>
              <w:top w:val="single" w:sz="6" w:color="BFBFBF"/>
              <w:left w:val="single" w:sz="6" w:color="BFBFBF"/>
              <w:bottom w:val="single" w:sz="6" w:color="BFBFBF"/>
              <w:right w:val="single" w:sz="6" w:color="BFBFBF"/>
            </w:tcBorders>
          </w:tcPr>
          <w:p>
            <w:r>
              <w:t>Customer-side testing in S14 paid for itself — don't skip on next programme</w:t>
            </w:r>
            <w:r>
              <w:rPr>
                <w:rFonts w:ascii="Arial" w:hAnsi="Arial"/>
                <w:sz w:val="20"/>
              </w:rPr>
            </w:r>
          </w:p>
        </w:tc>
      </w:tr>
      <w:tr>
        <w:tc>
          <w:tcPr>
            <w:tcW w:type="dxa" w:w="3969"/>
            <w:tcBorders>
              <w:top w:val="single" w:sz="6" w:color="BFBFBF"/>
              <w:left w:val="single" w:sz="6" w:color="BFBFBF"/>
              <w:bottom w:val="single" w:sz="6" w:color="BFBFBF"/>
              <w:right w:val="single" w:sz="6" w:color="BFBFBF"/>
            </w:tcBorders>
          </w:tcPr>
          <w:p>
            <w:r/>
            <w:r>
              <w:rPr>
                <w:rFonts w:ascii="Arial" w:hAnsi="Arial"/>
                <w:sz w:val="20"/>
              </w:rPr>
              <w:t>Dual-currency consolidation was harder than expected</w:t>
            </w:r>
          </w:p>
        </w:tc>
        <w:tc>
          <w:tcPr>
            <w:tcW w:type="dxa" w:w="5102"/>
            <w:tcBorders>
              <w:top w:val="single" w:sz="6" w:color="BFBFBF"/>
              <w:left w:val="single" w:sz="6" w:color="BFBFBF"/>
              <w:bottom w:val="single" w:sz="6" w:color="BFBFBF"/>
              <w:right w:val="single" w:sz="6" w:color="BFBFBF"/>
            </w:tcBorders>
          </w:tcPr>
          <w:p>
            <w:r>
              <w:t>Allow more design time at S12 for FX handling; spike early in S11</w:t>
            </w:r>
            <w:r>
              <w:rPr>
                <w:rFonts w:ascii="Arial" w:hAnsi="Arial"/>
                <w:sz w:val="20"/>
              </w:rPr>
            </w:r>
          </w:p>
        </w:tc>
      </w:tr>
      <w:tr>
        <w:tc>
          <w:tcPr>
            <w:tcW w:type="dxa" w:w="3969"/>
            <w:tcBorders>
              <w:top w:val="single" w:sz="6" w:color="BFBFBF"/>
              <w:left w:val="single" w:sz="6" w:color="BFBFBF"/>
              <w:bottom w:val="single" w:sz="6" w:color="BFBFBF"/>
              <w:right w:val="single" w:sz="6" w:color="BFBFBF"/>
            </w:tcBorders>
          </w:tcPr>
          <w:p>
            <w:r/>
            <w:r>
              <w:rPr>
                <w:rFonts w:ascii="Arial" w:hAnsi="Arial"/>
                <w:sz w:val="20"/>
              </w:rPr>
              <w:t>Hypercare ticket volume peaked in Week 3, not Week 1</w:t>
            </w:r>
          </w:p>
        </w:tc>
        <w:tc>
          <w:tcPr>
            <w:tcW w:type="dxa" w:w="5102"/>
            <w:tcBorders>
              <w:top w:val="single" w:sz="6" w:color="BFBFBF"/>
              <w:left w:val="single" w:sz="6" w:color="BFBFBF"/>
              <w:bottom w:val="single" w:sz="6" w:color="BFBFBF"/>
              <w:right w:val="single" w:sz="6" w:color="BFBFBF"/>
            </w:tcBorders>
          </w:tcPr>
          <w:p>
            <w:r/>
            <w:r>
              <w:rPr>
                <w:rFonts w:ascii="Arial" w:hAnsi="Arial"/>
                <w:sz w:val="20"/>
              </w:rPr>
              <w:t>Plan resourcing for Week 3 peak — most users discover edge cases after first 2 weeks of normal-pattern use</w:t>
            </w:r>
          </w:p>
        </w:tc>
      </w:tr>
    </w:tbl>
    <w:p/>
    <w:p>
      <w:pPr>
        <w:pStyle w:val="Heading1"/>
      </w:pPr>
      <w:r>
        <w:t>6. Method-level recommendations</w:t>
      </w:r>
    </w:p>
    <w:p>
      <w:r>
        <w:rPr>
          <w:rFonts w:ascii="Arial" w:hAnsi="Arial"/>
          <w:b w:val="0"/>
          <w:i w:val="0"/>
          <w:sz w:val="22"/>
        </w:rPr>
        <w:t>Specific suggestions for the ERP Method itself, based on this delivery:</w:t>
      </w:r>
    </w:p>
    <w:p>
      <w:pPr>
        <w:pStyle w:val="ListBullet"/>
      </w:pPr>
      <w:r>
        <w:rPr>
          <w:rFonts w:ascii="Arial" w:hAnsi="Arial"/>
          <w:sz w:val="22"/>
        </w:rPr>
        <w:t>SI Selection with ROM Pricing (S9) SI ROM scope should be tightened to require integration-level inputs</w:t>
      </w:r>
    </w:p>
    <w:p>
      <w:pPr>
        <w:pStyle w:val="ListBullet"/>
      </w:pPr>
      <w:r>
        <w:rPr>
          <w:rFonts w:ascii="Arial" w:hAnsi="Arial"/>
          <w:sz w:val="22"/>
        </w:rPr>
        <w:t>S11 Data Owner training should be added as an explicit activity</w:t>
      </w:r>
    </w:p>
    <w:p>
      <w:pPr>
        <w:pStyle w:val="ListBullet"/>
      </w:pPr>
      <w:r>
        <w:rPr>
          <w:rFonts w:ascii="Arial" w:hAnsi="Arial"/>
          <w:sz w:val="22"/>
        </w:rPr>
        <w:t>Testing (S14) should require explicit rollback rehearsal at least once</w:t>
      </w:r>
    </w:p>
    <w:p>
      <w:pPr>
        <w:pStyle w:val="ListBullet"/>
      </w:pPr>
      <w:r>
        <w:rPr>
          <w:rFonts w:ascii="Arial" w:hAnsi="Arial"/>
          <w:sz w:val="22"/>
        </w:rPr>
        <w:t>Cutover Planning (S15) cutover plan should include a Wave 4 customer-letter Legal sign-off task</w:t>
      </w:r>
    </w:p>
    <w:p>
      <w:pPr>
        <w:pStyle w:val="ListBullet"/>
      </w:pPr>
      <w:r>
        <w:rPr>
          <w:rFonts w:ascii="Arial" w:hAnsi="Arial"/>
          <w:sz w:val="22"/>
        </w:rPr>
        <w:t>Hypercare &amp; Stabilisation (S17) Hypercare resourcing should specify named individuals as a contract condition</w:t>
      </w:r>
    </w:p>
    <w:p>
      <w:pPr>
        <w:pStyle w:val="ListBullet"/>
      </w:pPr>
      <w:r>
        <w:rPr>
          <w:rFonts w:ascii="Arial" w:hAnsi="Arial"/>
          <w:sz w:val="22"/>
        </w:rPr>
        <w:t>S18 should formalise the lessons-learned workshop as a method activity</w:t>
      </w:r>
    </w:p>
    <w:p>
      <w:pPr>
        <w:pStyle w:val="Heading1"/>
      </w:pPr>
      <w:r>
        <w:t>7. Quotes from the team</w:t>
      </w:r>
    </w:p>
    <w:p>
      <w:r>
        <w:rPr>
          <w:rFonts w:ascii="Arial" w:hAnsi="Arial"/>
          <w:b w:val="0"/>
          <w:i w:val="0"/>
          <w:sz w:val="22"/>
        </w:rPr>
        <w:t>Captured in the S18 retrospective workshop. Anonymised:</w:t>
      </w:r>
    </w:p>
    <w:tbl>
      <w:tblPr>
        <w:tblW w:type="auto" w:w="0"/>
        <w:tblLook w:firstColumn="1" w:firstRow="1" w:lastColumn="0" w:lastRow="0" w:noHBand="0" w:noVBand="1" w:val="04A0"/>
      </w:tblPr>
      <w:tblGrid>
        <w:gridCol w:w="8640"/>
      </w:tblGrid>
      <w:tr>
        <w:tc>
          <w:tcPr>
            <w:tcW w:type="dxa" w:w="8640"/>
            <w:shd w:val="clear" w:color="auto" w:fill="EAF1FA"/>
            <w:tcBorders>
              <w:top w:val="single" w:sz="8" w:color="2E75B6"/>
              <w:left w:val="single" w:sz="8" w:color="2E75B6"/>
              <w:bottom w:val="single" w:sz="8" w:color="2E75B6"/>
              <w:right w:val="single" w:sz="8" w:color="2E75B6"/>
            </w:tcBorders>
          </w:tcPr>
          <w:p>
            <w:r/>
            <w:r>
              <w:rPr>
                <w:rFonts w:ascii="Arial" w:hAnsi="Arial"/>
                <w:b/>
                <w:color w:val="1E2761"/>
                <w:sz w:val="22"/>
              </w:rPr>
              <w:t>Programme Manager</w:t>
            </w:r>
          </w:p>
          <w:p>
            <w:r>
              <w:rPr>
                <w:rFonts w:ascii="Arial" w:hAnsi="Arial"/>
                <w:sz w:val="21"/>
              </w:rPr>
              <w:t>"The single best decision we made was holding Pre-UAT. Every time someone tried to compress it, I pointed at the 14 issues we'd surfaced in Pre-UAT and asked if they'd rather find those in UAT."</w:t>
            </w:r>
          </w:p>
        </w:tc>
      </w:tr>
    </w:tbl>
    <w:p/>
    <w:tbl>
      <w:tblPr>
        <w:tblW w:type="auto" w:w="0"/>
        <w:tblLook w:firstColumn="1" w:firstRow="1" w:lastColumn="0" w:lastRow="0" w:noHBand="0" w:noVBand="1" w:val="04A0"/>
      </w:tblPr>
      <w:tblGrid>
        <w:gridCol w:w="8640"/>
      </w:tblGrid>
      <w:tr>
        <w:tc>
          <w:tcPr>
            <w:tcW w:type="dxa" w:w="8640"/>
            <w:shd w:val="clear" w:color="auto" w:fill="EAF1FA"/>
            <w:tcBorders>
              <w:top w:val="single" w:sz="8" w:color="2E75B6"/>
              <w:left w:val="single" w:sz="8" w:color="2E75B6"/>
              <w:bottom w:val="single" w:sz="8" w:color="2E75B6"/>
              <w:right w:val="single" w:sz="8" w:color="2E75B6"/>
            </w:tcBorders>
          </w:tcPr>
          <w:p>
            <w:r>
              <w:t>Client Test Manager</w:t>
            </w:r>
            <w:r>
              <w:rPr>
                <w:rFonts w:ascii="Arial" w:hAnsi="Arial"/>
                <w:b/>
                <w:color w:val="1E2761"/>
                <w:sz w:val="22"/>
              </w:rPr>
            </w:r>
          </w:p>
          <w:p>
            <w:r>
              <w:rPr>
                <w:rFonts w:ascii="Arial" w:hAnsi="Arial"/>
                <w:sz w:val="21"/>
              </w:rPr>
              <w:t>"Daily defect triage felt over the top in Week 1 of SIT. By Week 3, it was the most useful 30 minutes of the day. By Week 6, defect ageing was meaningfully better than my last programme."</w:t>
            </w:r>
          </w:p>
        </w:tc>
      </w:tr>
    </w:tbl>
    <w:p/>
    <w:tbl>
      <w:tblPr>
        <w:tblW w:type="auto" w:w="0"/>
        <w:tblLook w:firstColumn="1" w:firstRow="1" w:lastColumn="0" w:lastRow="0" w:noHBand="0" w:noVBand="1" w:val="04A0"/>
      </w:tblPr>
      <w:tblGrid>
        <w:gridCol w:w="8640"/>
      </w:tblGrid>
      <w:tr>
        <w:tc>
          <w:tcPr>
            <w:tcW w:type="dxa" w:w="8640"/>
            <w:shd w:val="clear" w:color="auto" w:fill="EAF1FA"/>
            <w:tcBorders>
              <w:top w:val="single" w:sz="8" w:color="2E75B6"/>
              <w:left w:val="single" w:sz="8" w:color="2E75B6"/>
              <w:bottom w:val="single" w:sz="8" w:color="2E75B6"/>
              <w:right w:val="single" w:sz="8" w:color="2E75B6"/>
            </w:tcBorders>
          </w:tcPr>
          <w:p>
            <w:r/>
            <w:r>
              <w:rPr>
                <w:rFonts w:ascii="Arial" w:hAnsi="Arial"/>
                <w:b/>
                <w:color w:val="1E2761"/>
                <w:sz w:val="22"/>
              </w:rPr>
              <w:t>Data Migration Lead</w:t>
            </w:r>
          </w:p>
          <w:p>
            <w:r>
              <w:rPr>
                <w:rFonts w:ascii="Arial" w:hAnsi="Arial"/>
                <w:sz w:val="21"/>
              </w:rPr>
              <w:t>"I underestimated how long the customer hierarchy fix would take. If I had a do-over, I would have started hierarchy work at S11, not S13. Hierarchies look simple until they aren't."</w:t>
            </w:r>
          </w:p>
        </w:tc>
      </w:tr>
    </w:tbl>
    <w:p/>
    <w:tbl>
      <w:tblPr>
        <w:tblW w:type="auto" w:w="0"/>
        <w:tblLook w:firstColumn="1" w:firstRow="1" w:lastColumn="0" w:lastRow="0" w:noHBand="0" w:noVBand="1" w:val="04A0"/>
      </w:tblPr>
      <w:tblGrid>
        <w:gridCol w:w="8640"/>
      </w:tblGrid>
      <w:tr>
        <w:tc>
          <w:tcPr>
            <w:tcW w:type="dxa" w:w="8640"/>
            <w:shd w:val="clear" w:color="auto" w:fill="EAF1FA"/>
            <w:tcBorders>
              <w:top w:val="single" w:sz="8" w:color="2E75B6"/>
              <w:left w:val="single" w:sz="8" w:color="2E75B6"/>
              <w:bottom w:val="single" w:sz="8" w:color="2E75B6"/>
              <w:right w:val="single" w:sz="8" w:color="2E75B6"/>
            </w:tcBorders>
          </w:tcPr>
          <w:p>
            <w:r/>
            <w:r>
              <w:rPr>
                <w:rFonts w:ascii="Arial" w:hAnsi="Arial"/>
                <w:b/>
                <w:color w:val="1E2761"/>
                <w:sz w:val="22"/>
              </w:rPr>
              <w:t>Process Owner — Procurement</w:t>
            </w:r>
          </w:p>
          <w:p>
            <w:r>
              <w:rPr>
                <w:rFonts w:ascii="Arial" w:hAnsi="Arial"/>
                <w:sz w:val="21"/>
              </w:rPr>
              <w:t>"Being told 'you sign off, you don't execute UAT' was the right call. I tried to argue against it at the start. By the end of UAT, I understood why we had independent testers."</w:t>
            </w:r>
          </w:p>
        </w:tc>
      </w:tr>
    </w:tbl>
    <w:p/>
    <w:p>
      <w:pPr>
        <w:pStyle w:val="Heading1"/>
      </w:pPr>
      <w:r>
        <w:t>8. Sign-off</w:t>
      </w:r>
    </w:p>
    <w:tbl>
      <w:tblPr>
        <w:tblW w:type="auto" w:w="0"/>
        <w:tblLayout w:type="fixed"/>
        <w:tblLook w:firstColumn="1" w:firstRow="1" w:lastColumn="0" w:lastRow="0" w:noHBand="0" w:noVBand="1" w:val="04A0"/>
      </w:tblPr>
      <w:tblGrid>
        <w:gridCol w:w="2880"/>
        <w:gridCol w:w="2880"/>
        <w:gridCol w:w="2880"/>
      </w:tblGrid>
      <w:tr>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Name</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Date</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Executive Sponsor</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Programme Manager</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Business Architect</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t>IT Service Director (post-Optimisation &amp; Maturity (S19))</w:t>
            </w:r>
            <w:r>
              <w:rPr>
                <w:rFonts w:ascii="Arial" w:hAnsi="Arial"/>
                <w:sz w:val="20"/>
              </w:rPr>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bl>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