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2761"/>
          <w:sz w:val="60"/>
        </w:rPr>
        <w:t>Operating Model &amp; Service Wrap</w:t>
      </w:r>
    </w:p>
    <w:p>
      <w:r>
        <w:rPr>
          <w:rFonts w:ascii="Arial" w:hAnsi="Arial"/>
          <w:i/>
          <w:color w:val="595959"/>
          <w:sz w:val="26"/>
        </w:rPr>
        <w:t>Stages 17-18. Post go-live support model: L1/L2/L3, escalation, SLA, SI exit, transition to BAU.</w:t>
      </w:r>
    </w:p>
    <w:p>
      <w:pPr>
        <w:pBdr>
          <w:bottom w:val="single" w:sz="18" w:color="1E2761" w:space="1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Document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Operating Model &amp; Service Wrap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Version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v1.0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Date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April 2026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Owner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Programme Manager (transitioning to IT Service Director at S19)</w:t>
            </w:r>
            <w:r>
              <w:rPr>
                <w:rFonts w:ascii="Arial" w:hAnsi="Arial"/>
                <w:sz w:val="22"/>
              </w:rPr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Classification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Programme Use</w:t>
            </w:r>
          </w:p>
        </w:tc>
      </w:tr>
    </w:tbl>
    <w:p>
      <w:r>
        <w:br w:type="page"/>
      </w:r>
    </w:p>
    <w:p>
      <w:pPr>
        <w:pStyle w:val="Heading1"/>
      </w:pPr>
      <w:r>
        <w:t>1. Purpose</w:t>
      </w:r>
    </w:p>
    <w:p>
      <w:r>
        <w:rPr>
          <w:rFonts w:ascii="Arial" w:hAnsi="Arial"/>
          <w:b w:val="0"/>
          <w:i w:val="0"/>
          <w:sz w:val="22"/>
        </w:rPr>
        <w:t>Defines how the new ERP is supported once the programme ends. Approved by SteerCo at Hypercare &amp; Stabilisation (S17) entry. Operationalised through Stages 17–19. Re-baselined annually as part of the Optimisation &amp; Maturity (S19) optimisation cycle.</w:t>
      </w:r>
    </w:p>
    <w:p>
      <w:pPr>
        <w:pStyle w:val="Heading1"/>
      </w:pPr>
      <w:r>
        <w:t>2. Three-tier support model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Tier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Responsibility</w:t>
            </w:r>
          </w:p>
        </w:tc>
        <w:tc>
          <w:tcPr>
            <w:tcW w:type="dxa" w:w="311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Provided by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Hours</w:t>
            </w:r>
          </w:p>
        </w:tc>
      </w:tr>
      <w:tr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L1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First-point-of-contact; password resets; how-to questions; ticket routing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Internal Service Desk (ServiceNow)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06:00-20:00 UK Mon-Fri; weekend on-call</w:t>
            </w:r>
          </w:p>
        </w:tc>
      </w:tr>
      <w:tr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L2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Functional configuration changes; investigation of business issues; routine fixes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Internal Centre of Excellence (CoE) — 6 FTE: 2 finance, 2 supply chain, 1 commercial, 1 BI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08:00-18:00 UK; on-call rota</w:t>
            </w:r>
          </w:p>
        </w:tc>
      </w:tr>
      <w:tr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L3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Code-level fixes; complex configuration; integration issues; vendor escalation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managed service (Years 1-2) → blended client+SI from Year 3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Per SLA below</w:t>
            </w:r>
          </w:p>
        </w:tc>
      </w:tr>
    </w:tbl>
    <w:p/>
    <w:p>
      <w:pPr>
        <w:pStyle w:val="Heading1"/>
      </w:pPr>
      <w:r>
        <w:t>3. Centre of Excellence (CoE)</w:t>
      </w:r>
    </w:p>
    <w:p>
      <w:r>
        <w:rPr>
          <w:rFonts w:ascii="Arial" w:hAnsi="Arial"/>
          <w:b w:val="0"/>
          <w:i w:val="0"/>
          <w:sz w:val="22"/>
        </w:rPr>
        <w:t>The CoE is the heart of the operating model. It is staffed during S17 from a combination of programme team members (super users converted to CoE) and lateral transfers. Its remit:</w:t>
      </w:r>
    </w:p>
    <w:p>
      <w:pPr>
        <w:pStyle w:val="ListBullet"/>
      </w:pPr>
      <w:r>
        <w:rPr>
          <w:rFonts w:ascii="Arial" w:hAnsi="Arial"/>
          <w:sz w:val="22"/>
        </w:rPr>
        <w:t>L2 incident &amp; request resolution</w:t>
      </w:r>
    </w:p>
    <w:p>
      <w:pPr>
        <w:pStyle w:val="ListBullet"/>
      </w:pPr>
      <w:r>
        <w:rPr>
          <w:rFonts w:ascii="Arial" w:hAnsi="Arial"/>
          <w:sz w:val="22"/>
        </w:rPr>
        <w:t>Continuous improvement backlog (small enhancements; feeds S19 optimisation cycle)</w:t>
      </w:r>
    </w:p>
    <w:p>
      <w:pPr>
        <w:pStyle w:val="ListBullet"/>
      </w:pPr>
      <w:r>
        <w:rPr>
          <w:rFonts w:ascii="Arial" w:hAnsi="Arial"/>
          <w:sz w:val="22"/>
        </w:rPr>
        <w:t>Master data governance ownership (with business Data Owners)</w:t>
      </w:r>
    </w:p>
    <w:p>
      <w:pPr>
        <w:pStyle w:val="ListBullet"/>
      </w:pPr>
      <w:r>
        <w:rPr>
          <w:rFonts w:ascii="Arial" w:hAnsi="Arial"/>
          <w:sz w:val="22"/>
        </w:rPr>
        <w:t>Training material maintenance and new-starter onboarding</w:t>
      </w:r>
    </w:p>
    <w:p>
      <w:pPr>
        <w:pStyle w:val="ListBullet"/>
      </w:pPr>
      <w:r>
        <w:rPr>
          <w:rFonts w:ascii="Arial" w:hAnsi="Arial"/>
          <w:sz w:val="22"/>
        </w:rPr>
        <w:t>Period-close support for finance</w:t>
      </w:r>
    </w:p>
    <w:p>
      <w:pPr>
        <w:pStyle w:val="ListBullet"/>
      </w:pPr>
      <w:r>
        <w:rPr>
          <w:rFonts w:ascii="Arial" w:hAnsi="Arial"/>
          <w:sz w:val="22"/>
        </w:rPr>
        <w:t>Vendor management (Microsoft, ISVs) — partnered with IT Service Director</w:t>
      </w:r>
    </w:p>
    <w:p>
      <w:pPr>
        <w:pStyle w:val="Heading1"/>
      </w:pPr>
      <w:r>
        <w:t>4. SLA framework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Response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Resolution target</w:t>
            </w:r>
          </w:p>
        </w:tc>
      </w:tr>
      <w:tr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P1 — Critical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Production down or major business function unavailable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15 min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4 hrs</w:t>
            </w:r>
          </w:p>
        </w:tc>
      </w:tr>
      <w:tr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P2 — High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Significant functional issue; workaround possible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 hr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 working day</w:t>
            </w:r>
          </w:p>
        </w:tc>
      </w:tr>
      <w:tr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P3 — Medium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Functional issue with workaround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 working day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5 working days</w:t>
            </w:r>
          </w:p>
        </w:tc>
      </w:tr>
      <w:tr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P4 — Low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Cosmetic / nice-to-have / how-to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2 working days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20 working days</w:t>
            </w:r>
          </w:p>
        </w:tc>
      </w:tr>
      <w:tr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Service Request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Standard request (access, report, etc.)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 working day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10 working days</w:t>
            </w:r>
          </w:p>
        </w:tc>
      </w:tr>
    </w:tbl>
    <w:p/>
    <w:p>
      <w:pPr>
        <w:pStyle w:val="Heading1"/>
      </w:pPr>
      <w:r>
        <w:t>5. SI exit &amp; transition</w:t>
      </w:r>
    </w:p>
    <w:p>
      <w:r>
        <w:rPr>
          <w:rFonts w:ascii="Arial" w:hAnsi="Arial"/>
          <w:b w:val="0"/>
          <w:i w:val="0"/>
          <w:sz w:val="22"/>
        </w:rPr>
        <w:t>The SI's role transitions deliberately and contractually through Stages 17–19: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Stage</w:t>
            </w:r>
          </w:p>
        </w:tc>
        <w:tc>
          <w:tcPr>
            <w:tcW w:type="dxa" w:w="368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SI involvement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Internal capability</w:t>
            </w:r>
          </w:p>
        </w:tc>
      </w:tr>
      <w:tr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Stage 17 (Hypercare, 4-8 weeks)</w:t>
            </w:r>
          </w:p>
        </w:tc>
        <w:tc>
          <w:tcPr>
            <w:tcW w:type="dxa" w:w="368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Full team on-site / on-call; SI leads L3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CoE shadowing + receiving knowledge transfer</w:t>
            </w:r>
          </w:p>
        </w:tc>
      </w:tr>
      <w:tr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Stage 18 (Months 3-6)</w:t>
            </w:r>
          </w:p>
        </w:tc>
        <w:tc>
          <w:tcPr>
            <w:tcW w:type="dxa" w:w="368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L3 only via managed service contract; ad-hoc CoE coaching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CoE owns L2; KT formal sign-off at month 6</w:t>
            </w:r>
          </w:p>
        </w:tc>
      </w:tr>
      <w:tr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S19 onwards (Year 1+)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368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L3 via SLA-backed managed service; quarterly partnership review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CoE fully L2 capable; selects which L3 to insource</w:t>
            </w:r>
          </w:p>
        </w:tc>
      </w:tr>
      <w:tr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Year 3+</w:t>
            </w:r>
          </w:p>
        </w:tc>
        <w:tc>
          <w:tcPr>
            <w:tcW w:type="dxa" w:w="368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Optional managed service renewal; or blended internal+SI L3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CoE fully self-sufficient for L2 + 60-70% of L3</w:t>
            </w:r>
          </w:p>
        </w:tc>
      </w:tr>
    </w:tbl>
    <w:p/>
    <w:p>
      <w:pPr>
        <w:pStyle w:val="Heading1"/>
      </w:pPr>
      <w:r>
        <w:t>6. Knowledge transfer plan</w:t>
      </w:r>
    </w:p>
    <w:p>
      <w:r>
        <w:rPr>
          <w:rFonts w:ascii="Arial" w:hAnsi="Arial"/>
          <w:b w:val="0"/>
          <w:i w:val="0"/>
          <w:sz w:val="22"/>
        </w:rPr>
        <w:t>Knowledge transfer (KT) starts at Testing (S14) and runs through S17. Tracked formally with a KT Tracker in the CoE backlog tool.</w:t>
      </w:r>
    </w:p>
    <w:p>
      <w:pPr>
        <w:pStyle w:val="ListBullet"/>
      </w:pPr>
      <w:r>
        <w:rPr>
          <w:rFonts w:ascii="Arial" w:hAnsi="Arial"/>
          <w:sz w:val="22"/>
        </w:rPr>
        <w:t>Pair-walking: every SI Functional Lead pairs with a CoE counterpart through Stages 14-17</w:t>
      </w:r>
    </w:p>
    <w:p>
      <w:pPr>
        <w:pStyle w:val="ListBullet"/>
      </w:pPr>
      <w:r>
        <w:rPr>
          <w:rFonts w:ascii="Arial" w:hAnsi="Arial"/>
          <w:sz w:val="22"/>
        </w:rPr>
        <w:t>Documentation: SI produces operational runbooks per process; signed off by CoE before S17 close</w:t>
      </w:r>
    </w:p>
    <w:p>
      <w:pPr>
        <w:pStyle w:val="ListBullet"/>
      </w:pPr>
      <w:r>
        <w:rPr>
          <w:rFonts w:ascii="Arial" w:hAnsi="Arial"/>
          <w:sz w:val="22"/>
        </w:rPr>
        <w:t>Test capability: CoE runs the regression suite for the first cycle of post-go-live changes</w:t>
      </w:r>
    </w:p>
    <w:p>
      <w:pPr>
        <w:pStyle w:val="ListBullet"/>
      </w:pPr>
      <w:r>
        <w:rPr>
          <w:rFonts w:ascii="Arial" w:hAnsi="Arial"/>
          <w:sz w:val="22"/>
        </w:rPr>
        <w:t>Shadowing: CoE attends every L3 ticket with SI through Hypercare</w:t>
      </w:r>
    </w:p>
    <w:p>
      <w:pPr>
        <w:pStyle w:val="ListBullet"/>
      </w:pPr>
      <w:r>
        <w:rPr>
          <w:rFonts w:ascii="Arial" w:hAnsi="Arial"/>
          <w:sz w:val="22"/>
        </w:rPr>
        <w:t>Solo runs: CoE solo-resolves at least 10 L2 tickets and 3 L3 tickets before SI exit</w:t>
      </w:r>
    </w:p>
    <w:p>
      <w:pPr>
        <w:pStyle w:val="Heading1"/>
      </w:pPr>
      <w:r>
        <w:t>7. Governance — post-programme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Forum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Cadence</w:t>
            </w:r>
          </w:p>
        </w:tc>
        <w:tc>
          <w:tcPr>
            <w:tcW w:type="dxa" w:w="45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ERP Operations Forum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Monthly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L1/L2/L3 incident review, change calendar, capacity planning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Data Governance Council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Quarterly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Master data quality KPIs; emerging issues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Vendor Partnership Review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Quarterly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managed service performance vs SLA; Microsoft roadmap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Optimisation Backlog Review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Quarterly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Continuous improvement priorities; feeds S19</w:t>
            </w:r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Annual Operating Model Review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Annual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Re-baseline of this document</w:t>
            </w:r>
          </w:p>
        </w:tc>
      </w:tr>
    </w:tbl>
    <w:p/>
    <w:p>
      <w:pPr>
        <w:pStyle w:val="Heading1"/>
      </w:pPr>
      <w:r>
        <w:t>8. Costs (run rate, Year 1 — illustrative)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5669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Cost (£k pa)</w:t>
            </w:r>
          </w:p>
        </w:tc>
      </w:tr>
      <w:tr>
        <w:tc>
          <w:tcPr>
            <w:tcW w:type="dxa" w:w="56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CoE FTE (6 people, fully loaded)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780</w:t>
            </w:r>
          </w:p>
        </w:tc>
      </w:tr>
      <w:tr>
        <w:tc>
          <w:tcPr>
            <w:tcW w:type="dxa" w:w="56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Service Desk capacity uplift (1.5 FTE)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75</w:t>
            </w:r>
          </w:p>
        </w:tc>
      </w:tr>
      <w:tr>
        <w:tc>
          <w:tcPr>
            <w:tcW w:type="dxa" w:w="56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managed service (L3, Year 1)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320</w:t>
            </w:r>
          </w:p>
        </w:tc>
      </w:tr>
      <w:tr>
        <w:tc>
          <w:tcPr>
            <w:tcW w:type="dxa" w:w="56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Microsoft licences (run rate)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595</w:t>
            </w:r>
          </w:p>
        </w:tc>
      </w:tr>
      <w:tr>
        <w:tc>
          <w:tcPr>
            <w:tcW w:type="dxa" w:w="56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Cloud subscription consumption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165</w:t>
            </w:r>
          </w:p>
        </w:tc>
      </w:tr>
      <w:tr>
        <w:tc>
          <w:tcPr>
            <w:tcW w:type="dxa" w:w="56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Tooling — monitoring, ITSM uplift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60</w:t>
            </w:r>
          </w:p>
        </w:tc>
      </w:tr>
      <w:tr>
        <w:tc>
          <w:tcPr>
            <w:tcW w:type="dxa" w:w="56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Annual Microsoft updates support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40</w:t>
            </w:r>
          </w:p>
        </w:tc>
      </w:tr>
      <w:tr>
        <w:tc>
          <w:tcPr>
            <w:tcW w:type="dxa" w:w="56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2,035</w:t>
            </w:r>
          </w:p>
        </w:tc>
      </w:tr>
    </w:tbl>
    <w:p/>
    <w:p>
      <w:pPr>
        <w:pStyle w:val="Heading1"/>
      </w:pPr>
      <w:r>
        <w:t>9. Continuous improvement</w:t>
      </w:r>
    </w:p>
    <w:p>
      <w:r>
        <w:rPr>
          <w:rFonts w:ascii="Arial" w:hAnsi="Arial"/>
          <w:b w:val="0"/>
          <w:i w:val="0"/>
          <w:sz w:val="22"/>
        </w:rPr>
        <w:t>The CoE owns a backlog of optimisation items, sized in the same story-point framework as the build phase. Quarterly release cycle, deployed via the same ALM toolchain. Annual budget envelope agreed by SteerCo (transitioning to IT Investment Forum at S19).</w:t>
      </w:r>
    </w:p>
    <w:p>
      <w:pPr>
        <w:pStyle w:val="Heading1"/>
      </w:pPr>
      <w:r>
        <w:t>10. Key risks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969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Risk</w:t>
            </w:r>
          </w:p>
        </w:tc>
        <w:tc>
          <w:tcPr>
            <w:tcW w:type="dxa" w:w="51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CoE under-staffed at S17 close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FTE plan signed off at S14; recruitment starts Build &amp; Configuration (S13)</w:t>
            </w:r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KT incomplete — SI exits with knowledge gaps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Solo-run criterion gates SI exit; explicit sign-off required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L3 SLA breach in first 3 months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Daily incident review with SI through Benefits Realisation &amp; Review (S18); escalation to SI Programme Director</w:t>
            </w:r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Continuous improvement budget cut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Ring-fenced as % of run cost; reaffirmed at annual review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Microsoft platform updates introduce regressions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Regression suite run before each environment update; Microsoft early-access programme</w:t>
            </w:r>
          </w:p>
        </w:tc>
      </w:tr>
    </w:tbl>
    <w:p/>
    <w:sectPr w:rsidR="00FC693F" w:rsidRPr="0006063C" w:rsidSect="00034616">
      <w:headerReference w:type="default" r:id="rId9"/>
      <w:headerReference w:type="first" r:id="rId10"/>
      <w:headerReference w:type="even" r:id="rId11"/>
      <w:footerReference w:type="default" r:id="rId12"/>
      <w:footerReference w:type="first" r:id="rId13"/>
      <w:footerReference w:type="even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E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E276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E276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80" w:after="120"/>
      <w:outlineLvl w:val="3"/>
    </w:pPr>
    <w:rPr>
      <w:rFonts w:asciiTheme="majorHAnsi" w:eastAsiaTheme="majorEastAsia" w:hAnsiTheme="majorHAnsi" w:cstheme="majorBidi" w:ascii="Arial" w:hAnsi="Arial"/>
      <w:b/>
      <w:bCs/>
      <w:i/>
      <w:iCs/>
      <w:color w:val="1E276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