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color w:val="1E2761"/>
          <w:sz w:val="60"/>
        </w:rPr>
        <w:t>Solution Design Document (SDD)</w:t>
      </w:r>
    </w:p>
    <w:p>
      <w:r>
        <w:rPr>
          <w:rFonts w:ascii="Arial" w:hAnsi="Arial"/>
          <w:i/>
          <w:color w:val="595959"/>
          <w:sz w:val="26"/>
        </w:rPr>
        <w:t>ERP Programme — Solution Design &amp; Full Business Case (S12) anchor. The technical foundation for build. Goes to FBC.</w:t>
      </w:r>
    </w:p>
    <w:p>
      <w:pPr>
        <w:pBdr>
          <w:bottom w:val="single" w:sz="18" w:color="1E2761" w:space="1"/>
        </w:pBdr>
      </w:pPr>
    </w:p>
    <w:tbl>
      <w:tblPr>
        <w:tblW w:type="auto" w:w="0"/>
        <w:tblLayout w:type="fixed"/>
        <w:tblLook w:firstColumn="1" w:firstRow="1" w:lastColumn="0" w:lastRow="0" w:noHBand="0" w:noVBand="1" w:val="04A0"/>
      </w:tblPr>
      <w:tblGrid>
        <w:gridCol w:w="4320"/>
        <w:gridCol w:w="4320"/>
      </w:tblGrid>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Document</w:t>
            </w:r>
          </w:p>
        </w:tc>
        <w:tc>
          <w:tcPr>
            <w:tcW w:type="dxa" w:w="6236"/>
            <w:tcBorders>
              <w:top w:val="single" w:sz="6" w:color="BFBFBF"/>
              <w:left w:val="single" w:sz="6" w:color="BFBFBF"/>
              <w:bottom w:val="single" w:sz="6" w:color="BFBFBF"/>
              <w:right w:val="single" w:sz="6" w:color="BFBFBF"/>
            </w:tcBorders>
          </w:tcPr>
          <w:p>
            <w:r/>
            <w:r>
              <w:rPr>
                <w:rFonts w:ascii="Arial" w:hAnsi="Arial"/>
                <w:sz w:val="22"/>
              </w:rPr>
              <w:t>Solution Design Document (SDD)</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Version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v1.0</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Date</w:t>
            </w:r>
          </w:p>
        </w:tc>
        <w:tc>
          <w:tcPr>
            <w:tcW w:type="dxa" w:w="6236"/>
            <w:tcBorders>
              <w:top w:val="single" w:sz="6" w:color="BFBFBF"/>
              <w:left w:val="single" w:sz="6" w:color="BFBFBF"/>
              <w:bottom w:val="single" w:sz="6" w:color="BFBFBF"/>
              <w:right w:val="single" w:sz="6" w:color="BFBFBF"/>
            </w:tcBorders>
          </w:tcPr>
          <w:p>
            <w:r/>
            <w:r>
              <w:rPr>
                <w:rFonts w:ascii="Arial" w:hAnsi="Arial"/>
                <w:sz w:val="22"/>
              </w:rPr>
              <w:t>April 2026</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Owner</w:t>
            </w:r>
          </w:p>
        </w:tc>
        <w:tc>
          <w:tcPr>
            <w:tcW w:type="dxa" w:w="6236"/>
            <w:tcBorders>
              <w:top w:val="single" w:sz="6" w:color="BFBFBF"/>
              <w:left w:val="single" w:sz="6" w:color="BFBFBF"/>
              <w:bottom w:val="single" w:sz="6" w:color="BFBFBF"/>
              <w:right w:val="single" w:sz="6" w:color="BFBFBF"/>
            </w:tcBorders>
          </w:tcPr>
          <w:p>
            <w:r/>
            <w:r>
              <w:rPr>
                <w:rFonts w:ascii="Arial" w:hAnsi="Arial"/>
                <w:sz w:val="22"/>
              </w:rPr>
              <w:t>Solution Architect (Client + SI co-chair)</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Classification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Use</w:t>
            </w:r>
          </w:p>
        </w:tc>
      </w:tr>
    </w:tbl>
    <w:p>
      <w:r>
        <w:br w:type="page"/>
      </w:r>
    </w:p>
    <w:p>
      <w:pPr>
        <w:pStyle w:val="Heading1"/>
      </w:pPr>
      <w:r>
        <w:t>1. Purpose</w:t>
      </w:r>
    </w:p>
    <w:p>
      <w:r>
        <w:rPr>
          <w:rFonts w:ascii="Arial" w:hAnsi="Arial"/>
          <w:b w:val="0"/>
          <w:i w:val="0"/>
          <w:sz w:val="22"/>
        </w:rPr>
        <w:t>The SDD is the design that the build will be measured against. Approved by the Design Authority at S12 and ratified by the Steering Committee as input to the Full Business Case. Once approved, design changes are managed through the Deviation Request process (Design Authority bi-weekly).</w:t>
      </w:r>
    </w:p>
    <w:p>
      <w:pPr>
        <w:pStyle w:val="Heading1"/>
      </w:pPr>
      <w:r>
        <w:t>2. Scope</w:t>
      </w:r>
    </w:p>
    <w:p>
      <w:r>
        <w:rPr>
          <w:rFonts w:ascii="Arial" w:hAnsi="Arial"/>
          <w:b w:val="0"/>
          <w:i w:val="0"/>
          <w:sz w:val="22"/>
        </w:rPr>
        <w:t>Phase 1 of the ERP transformation, covering 6 legal entities across the UK, Republic of Ireland and Germany. 850 named users. 14 in-scope integrations. Core Finance, P2P, OTC, Inventory &amp; Supply Planning, embedded reporting &amp; analytics. Manufacturing execution and field service are explicitly Phase 2.</w:t>
      </w:r>
    </w:p>
    <w:p>
      <w:pPr>
        <w:pStyle w:val="Heading1"/>
      </w:pPr>
      <w:r>
        <w:t>3. Target architecture</w:t>
      </w:r>
    </w:p>
    <w:p>
      <w:r>
        <w:rPr>
          <w:rFonts w:ascii="Arial" w:hAnsi="Arial"/>
          <w:b w:val="0"/>
          <w:i w:val="0"/>
          <w:sz w:val="22"/>
        </w:rPr>
        <w:t>The target solution is Microsoft Dynamics 365 Finance and Supply Chain Management (D365 F&amp;SCM), deployed on the Microsoft Cloud. Power Platform is used for selected extensions (purchase requisition mobile app, supplier onboarding portal). Power BI is the primary reporting layer.</w:t>
      </w:r>
    </w:p>
    <w:tbl>
      <w:tblPr>
        <w:tblW w:type="auto" w:w="0"/>
        <w:tblLayout w:type="fixed"/>
        <w:tblLook w:firstColumn="1" w:firstRow="1" w:lastColumn="0" w:lastRow="0" w:noHBand="0" w:noVBand="1" w:val="04A0"/>
      </w:tblPr>
      <w:tblGrid>
        <w:gridCol w:w="2880"/>
        <w:gridCol w:w="2880"/>
        <w:gridCol w:w="2880"/>
      </w:tblGrid>
      <w:tr>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Layer</w:t>
            </w:r>
          </w:p>
        </w:tc>
        <w:tc>
          <w:tcPr>
            <w:tcW w:type="dxa" w:w="3969"/>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Component</w:t>
            </w:r>
          </w:p>
        </w:tc>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Choice</w:t>
            </w:r>
          </w:p>
        </w:tc>
      </w:tr>
      <w:tr>
        <w:tc>
          <w:tcPr>
            <w:tcW w:type="dxa" w:w="1701"/>
            <w:tcBorders>
              <w:top w:val="single" w:sz="6" w:color="BFBFBF"/>
              <w:left w:val="single" w:sz="6" w:color="BFBFBF"/>
              <w:bottom w:val="single" w:sz="6" w:color="BFBFBF"/>
              <w:right w:val="single" w:sz="6" w:color="BFBFBF"/>
            </w:tcBorders>
          </w:tcPr>
          <w:p>
            <w:r/>
            <w:r>
              <w:rPr>
                <w:rFonts w:ascii="Arial" w:hAnsi="Arial"/>
                <w:sz w:val="20"/>
              </w:rPr>
              <w:t>ERP core</w:t>
            </w:r>
          </w:p>
        </w:tc>
        <w:tc>
          <w:tcPr>
            <w:tcW w:type="dxa" w:w="3969"/>
            <w:tcBorders>
              <w:top w:val="single" w:sz="6" w:color="BFBFBF"/>
              <w:left w:val="single" w:sz="6" w:color="BFBFBF"/>
              <w:bottom w:val="single" w:sz="6" w:color="BFBFBF"/>
              <w:right w:val="single" w:sz="6" w:color="BFBFBF"/>
            </w:tcBorders>
          </w:tcPr>
          <w:p>
            <w:r/>
            <w:r>
              <w:rPr>
                <w:rFonts w:ascii="Arial" w:hAnsi="Arial"/>
                <w:sz w:val="20"/>
              </w:rPr>
              <w:t>D365 Finance + Supply Chain Management</w:t>
            </w:r>
          </w:p>
        </w:tc>
        <w:tc>
          <w:tcPr>
            <w:tcW w:type="dxa" w:w="3402"/>
            <w:tcBorders>
              <w:top w:val="single" w:sz="6" w:color="BFBFBF"/>
              <w:left w:val="single" w:sz="6" w:color="BFBFBF"/>
              <w:bottom w:val="single" w:sz="6" w:color="BFBFBF"/>
              <w:right w:val="single" w:sz="6" w:color="BFBFBF"/>
            </w:tcBorders>
          </w:tcPr>
          <w:p>
            <w:r/>
            <w:r>
              <w:rPr>
                <w:rFonts w:ascii="Arial" w:hAnsi="Arial"/>
                <w:sz w:val="20"/>
              </w:rPr>
              <w:t>Microsoft (cloud)</w:t>
            </w:r>
          </w:p>
        </w:tc>
      </w:tr>
      <w:tr>
        <w:tc>
          <w:tcPr>
            <w:tcW w:type="dxa" w:w="1701"/>
            <w:tcBorders>
              <w:top w:val="single" w:sz="6" w:color="BFBFBF"/>
              <w:left w:val="single" w:sz="6" w:color="BFBFBF"/>
              <w:bottom w:val="single" w:sz="6" w:color="BFBFBF"/>
              <w:right w:val="single" w:sz="6" w:color="BFBFBF"/>
            </w:tcBorders>
          </w:tcPr>
          <w:p>
            <w:r/>
            <w:r>
              <w:rPr>
                <w:rFonts w:ascii="Arial" w:hAnsi="Arial"/>
                <w:sz w:val="20"/>
              </w:rPr>
              <w:t>Customer self-service</w:t>
            </w:r>
          </w:p>
        </w:tc>
        <w:tc>
          <w:tcPr>
            <w:tcW w:type="dxa" w:w="3969"/>
            <w:tcBorders>
              <w:top w:val="single" w:sz="6" w:color="BFBFBF"/>
              <w:left w:val="single" w:sz="6" w:color="BFBFBF"/>
              <w:bottom w:val="single" w:sz="6" w:color="BFBFBF"/>
              <w:right w:val="single" w:sz="6" w:color="BFBFBF"/>
            </w:tcBorders>
          </w:tcPr>
          <w:p>
            <w:r/>
            <w:r>
              <w:rPr>
                <w:rFonts w:ascii="Arial" w:hAnsi="Arial"/>
                <w:sz w:val="20"/>
              </w:rPr>
              <w:t>Power Apps Portal</w:t>
            </w:r>
          </w:p>
        </w:tc>
        <w:tc>
          <w:tcPr>
            <w:tcW w:type="dxa" w:w="3402"/>
            <w:tcBorders>
              <w:top w:val="single" w:sz="6" w:color="BFBFBF"/>
              <w:left w:val="single" w:sz="6" w:color="BFBFBF"/>
              <w:bottom w:val="single" w:sz="6" w:color="BFBFBF"/>
              <w:right w:val="single" w:sz="6" w:color="BFBFBF"/>
            </w:tcBorders>
          </w:tcPr>
          <w:p>
            <w:r/>
            <w:r>
              <w:rPr>
                <w:rFonts w:ascii="Arial" w:hAnsi="Arial"/>
                <w:sz w:val="20"/>
              </w:rPr>
              <w:t>Microsoft</w:t>
            </w:r>
          </w:p>
        </w:tc>
      </w:tr>
      <w:tr>
        <w:tc>
          <w:tcPr>
            <w:tcW w:type="dxa" w:w="1701"/>
            <w:tcBorders>
              <w:top w:val="single" w:sz="6" w:color="BFBFBF"/>
              <w:left w:val="single" w:sz="6" w:color="BFBFBF"/>
              <w:bottom w:val="single" w:sz="6" w:color="BFBFBF"/>
              <w:right w:val="single" w:sz="6" w:color="BFBFBF"/>
            </w:tcBorders>
          </w:tcPr>
          <w:p>
            <w:r/>
            <w:r>
              <w:rPr>
                <w:rFonts w:ascii="Arial" w:hAnsi="Arial"/>
                <w:sz w:val="20"/>
              </w:rPr>
              <w:t>Mobile (warehouse)</w:t>
            </w:r>
          </w:p>
        </w:tc>
        <w:tc>
          <w:tcPr>
            <w:tcW w:type="dxa" w:w="3969"/>
            <w:tcBorders>
              <w:top w:val="single" w:sz="6" w:color="BFBFBF"/>
              <w:left w:val="single" w:sz="6" w:color="BFBFBF"/>
              <w:bottom w:val="single" w:sz="6" w:color="BFBFBF"/>
              <w:right w:val="single" w:sz="6" w:color="BFBFBF"/>
            </w:tcBorders>
          </w:tcPr>
          <w:p>
            <w:r/>
            <w:r>
              <w:rPr>
                <w:rFonts w:ascii="Arial" w:hAnsi="Arial"/>
                <w:sz w:val="20"/>
              </w:rPr>
              <w:t>Warehouse Mobile App (D365)</w:t>
            </w:r>
          </w:p>
        </w:tc>
        <w:tc>
          <w:tcPr>
            <w:tcW w:type="dxa" w:w="3402"/>
            <w:tcBorders>
              <w:top w:val="single" w:sz="6" w:color="BFBFBF"/>
              <w:left w:val="single" w:sz="6" w:color="BFBFBF"/>
              <w:bottom w:val="single" w:sz="6" w:color="BFBFBF"/>
              <w:right w:val="single" w:sz="6" w:color="BFBFBF"/>
            </w:tcBorders>
          </w:tcPr>
          <w:p>
            <w:r/>
            <w:r>
              <w:rPr>
                <w:rFonts w:ascii="Arial" w:hAnsi="Arial"/>
                <w:sz w:val="20"/>
              </w:rPr>
              <w:t>Microsoft (native)</w:t>
            </w:r>
          </w:p>
        </w:tc>
      </w:tr>
      <w:tr>
        <w:tc>
          <w:tcPr>
            <w:tcW w:type="dxa" w:w="1701"/>
            <w:tcBorders>
              <w:top w:val="single" w:sz="6" w:color="BFBFBF"/>
              <w:left w:val="single" w:sz="6" w:color="BFBFBF"/>
              <w:bottom w:val="single" w:sz="6" w:color="BFBFBF"/>
              <w:right w:val="single" w:sz="6" w:color="BFBFBF"/>
            </w:tcBorders>
          </w:tcPr>
          <w:p>
            <w:r/>
            <w:r>
              <w:rPr>
                <w:rFonts w:ascii="Arial" w:hAnsi="Arial"/>
                <w:sz w:val="20"/>
              </w:rPr>
              <w:t>Mobile (purchasing)</w:t>
            </w:r>
          </w:p>
        </w:tc>
        <w:tc>
          <w:tcPr>
            <w:tcW w:type="dxa" w:w="3969"/>
            <w:tcBorders>
              <w:top w:val="single" w:sz="6" w:color="BFBFBF"/>
              <w:left w:val="single" w:sz="6" w:color="BFBFBF"/>
              <w:bottom w:val="single" w:sz="6" w:color="BFBFBF"/>
              <w:right w:val="single" w:sz="6" w:color="BFBFBF"/>
            </w:tcBorders>
          </w:tcPr>
          <w:p>
            <w:r/>
            <w:r>
              <w:rPr>
                <w:rFonts w:ascii="Arial" w:hAnsi="Arial"/>
                <w:sz w:val="20"/>
              </w:rPr>
              <w:t>Power App (custom)</w:t>
            </w:r>
          </w:p>
        </w:tc>
        <w:tc>
          <w:tcPr>
            <w:tcW w:type="dxa" w:w="3402"/>
            <w:tcBorders>
              <w:top w:val="single" w:sz="6" w:color="BFBFBF"/>
              <w:left w:val="single" w:sz="6" w:color="BFBFBF"/>
              <w:bottom w:val="single" w:sz="6" w:color="BFBFBF"/>
              <w:right w:val="single" w:sz="6" w:color="BFBFBF"/>
            </w:tcBorders>
          </w:tcPr>
          <w:p>
            <w:r/>
            <w:r>
              <w:rPr>
                <w:rFonts w:ascii="Arial" w:hAnsi="Arial"/>
                <w:sz w:val="20"/>
              </w:rPr>
              <w:t>Power Platform</w:t>
            </w:r>
          </w:p>
        </w:tc>
      </w:tr>
      <w:tr>
        <w:tc>
          <w:tcPr>
            <w:tcW w:type="dxa" w:w="1701"/>
            <w:tcBorders>
              <w:top w:val="single" w:sz="6" w:color="BFBFBF"/>
              <w:left w:val="single" w:sz="6" w:color="BFBFBF"/>
              <w:bottom w:val="single" w:sz="6" w:color="BFBFBF"/>
              <w:right w:val="single" w:sz="6" w:color="BFBFBF"/>
            </w:tcBorders>
          </w:tcPr>
          <w:p>
            <w:r/>
            <w:r>
              <w:rPr>
                <w:rFonts w:ascii="Arial" w:hAnsi="Arial"/>
                <w:sz w:val="20"/>
              </w:rPr>
              <w:t>Reporting &amp; analytics</w:t>
            </w:r>
          </w:p>
        </w:tc>
        <w:tc>
          <w:tcPr>
            <w:tcW w:type="dxa" w:w="3969"/>
            <w:tcBorders>
              <w:top w:val="single" w:sz="6" w:color="BFBFBF"/>
              <w:left w:val="single" w:sz="6" w:color="BFBFBF"/>
              <w:bottom w:val="single" w:sz="6" w:color="BFBFBF"/>
              <w:right w:val="single" w:sz="6" w:color="BFBFBF"/>
            </w:tcBorders>
          </w:tcPr>
          <w:p>
            <w:r/>
            <w:r>
              <w:rPr>
                <w:rFonts w:ascii="Arial" w:hAnsi="Arial"/>
                <w:sz w:val="20"/>
              </w:rPr>
              <w:t>Power BI + dataverse + Synapse Link</w:t>
            </w:r>
          </w:p>
        </w:tc>
        <w:tc>
          <w:tcPr>
            <w:tcW w:type="dxa" w:w="3402"/>
            <w:tcBorders>
              <w:top w:val="single" w:sz="6" w:color="BFBFBF"/>
              <w:left w:val="single" w:sz="6" w:color="BFBFBF"/>
              <w:bottom w:val="single" w:sz="6" w:color="BFBFBF"/>
              <w:right w:val="single" w:sz="6" w:color="BFBFBF"/>
            </w:tcBorders>
          </w:tcPr>
          <w:p>
            <w:r/>
            <w:r>
              <w:rPr>
                <w:rFonts w:ascii="Arial" w:hAnsi="Arial"/>
                <w:sz w:val="20"/>
              </w:rPr>
              <w:t>Microsoft</w:t>
            </w:r>
          </w:p>
        </w:tc>
      </w:tr>
      <w:tr>
        <w:tc>
          <w:tcPr>
            <w:tcW w:type="dxa" w:w="1701"/>
            <w:tcBorders>
              <w:top w:val="single" w:sz="6" w:color="BFBFBF"/>
              <w:left w:val="single" w:sz="6" w:color="BFBFBF"/>
              <w:bottom w:val="single" w:sz="6" w:color="BFBFBF"/>
              <w:right w:val="single" w:sz="6" w:color="BFBFBF"/>
            </w:tcBorders>
          </w:tcPr>
          <w:p>
            <w:r/>
            <w:r>
              <w:rPr>
                <w:rFonts w:ascii="Arial" w:hAnsi="Arial"/>
                <w:sz w:val="20"/>
              </w:rPr>
              <w:t>Integration</w:t>
            </w:r>
          </w:p>
        </w:tc>
        <w:tc>
          <w:tcPr>
            <w:tcW w:type="dxa" w:w="3969"/>
            <w:tcBorders>
              <w:top w:val="single" w:sz="6" w:color="BFBFBF"/>
              <w:left w:val="single" w:sz="6" w:color="BFBFBF"/>
              <w:bottom w:val="single" w:sz="6" w:color="BFBFBF"/>
              <w:right w:val="single" w:sz="6" w:color="BFBFBF"/>
            </w:tcBorders>
          </w:tcPr>
          <w:p>
            <w:r/>
            <w:r>
              <w:rPr>
                <w:rFonts w:ascii="Arial" w:hAnsi="Arial"/>
                <w:sz w:val="20"/>
              </w:rPr>
              <w:t>Azure Logic Apps + Dual-write where applicable</w:t>
            </w:r>
          </w:p>
        </w:tc>
        <w:tc>
          <w:tcPr>
            <w:tcW w:type="dxa" w:w="3402"/>
            <w:tcBorders>
              <w:top w:val="single" w:sz="6" w:color="BFBFBF"/>
              <w:left w:val="single" w:sz="6" w:color="BFBFBF"/>
              <w:bottom w:val="single" w:sz="6" w:color="BFBFBF"/>
              <w:right w:val="single" w:sz="6" w:color="BFBFBF"/>
            </w:tcBorders>
          </w:tcPr>
          <w:p>
            <w:r/>
            <w:r>
              <w:rPr>
                <w:rFonts w:ascii="Arial" w:hAnsi="Arial"/>
                <w:sz w:val="20"/>
              </w:rPr>
              <w:t>Microsoft</w:t>
            </w:r>
          </w:p>
        </w:tc>
      </w:tr>
      <w:tr>
        <w:tc>
          <w:tcPr>
            <w:tcW w:type="dxa" w:w="1701"/>
            <w:tcBorders>
              <w:top w:val="single" w:sz="6" w:color="BFBFBF"/>
              <w:left w:val="single" w:sz="6" w:color="BFBFBF"/>
              <w:bottom w:val="single" w:sz="6" w:color="BFBFBF"/>
              <w:right w:val="single" w:sz="6" w:color="BFBFBF"/>
            </w:tcBorders>
          </w:tcPr>
          <w:p>
            <w:r/>
            <w:r>
              <w:rPr>
                <w:rFonts w:ascii="Arial" w:hAnsi="Arial"/>
                <w:sz w:val="20"/>
              </w:rPr>
              <w:t>Master data governance</w:t>
            </w:r>
          </w:p>
        </w:tc>
        <w:tc>
          <w:tcPr>
            <w:tcW w:type="dxa" w:w="3969"/>
            <w:tcBorders>
              <w:top w:val="single" w:sz="6" w:color="BFBFBF"/>
              <w:left w:val="single" w:sz="6" w:color="BFBFBF"/>
              <w:bottom w:val="single" w:sz="6" w:color="BFBFBF"/>
              <w:right w:val="single" w:sz="6" w:color="BFBFBF"/>
            </w:tcBorders>
          </w:tcPr>
          <w:p>
            <w:r/>
            <w:r>
              <w:rPr>
                <w:rFonts w:ascii="Arial" w:hAnsi="Arial"/>
                <w:sz w:val="20"/>
              </w:rPr>
              <w:t>External MDM tool (Profisee)</w:t>
            </w:r>
          </w:p>
        </w:tc>
        <w:tc>
          <w:tcPr>
            <w:tcW w:type="dxa" w:w="3402"/>
            <w:tcBorders>
              <w:top w:val="single" w:sz="6" w:color="BFBFBF"/>
              <w:left w:val="single" w:sz="6" w:color="BFBFBF"/>
              <w:bottom w:val="single" w:sz="6" w:color="BFBFBF"/>
              <w:right w:val="single" w:sz="6" w:color="BFBFBF"/>
            </w:tcBorders>
          </w:tcPr>
          <w:p>
            <w:r/>
            <w:r>
              <w:rPr>
                <w:rFonts w:ascii="Arial" w:hAnsi="Arial"/>
                <w:sz w:val="20"/>
              </w:rPr>
              <w:t>Third-party</w:t>
            </w:r>
          </w:p>
        </w:tc>
      </w:tr>
      <w:tr>
        <w:tc>
          <w:tcPr>
            <w:tcW w:type="dxa" w:w="1701"/>
            <w:tcBorders>
              <w:top w:val="single" w:sz="6" w:color="BFBFBF"/>
              <w:left w:val="single" w:sz="6" w:color="BFBFBF"/>
              <w:bottom w:val="single" w:sz="6" w:color="BFBFBF"/>
              <w:right w:val="single" w:sz="6" w:color="BFBFBF"/>
            </w:tcBorders>
          </w:tcPr>
          <w:p>
            <w:r/>
            <w:r>
              <w:rPr>
                <w:rFonts w:ascii="Arial" w:hAnsi="Arial"/>
                <w:sz w:val="20"/>
              </w:rPr>
              <w:t>Identity</w:t>
            </w:r>
          </w:p>
        </w:tc>
        <w:tc>
          <w:tcPr>
            <w:tcW w:type="dxa" w:w="3969"/>
            <w:tcBorders>
              <w:top w:val="single" w:sz="6" w:color="BFBFBF"/>
              <w:left w:val="single" w:sz="6" w:color="BFBFBF"/>
              <w:bottom w:val="single" w:sz="6" w:color="BFBFBF"/>
              <w:right w:val="single" w:sz="6" w:color="BFBFBF"/>
            </w:tcBorders>
          </w:tcPr>
          <w:p>
            <w:r/>
            <w:r>
              <w:rPr>
                <w:rFonts w:ascii="Arial" w:hAnsi="Arial"/>
                <w:sz w:val="20"/>
              </w:rPr>
              <w:t>Microsoft Entra ID (existing)</w:t>
            </w:r>
          </w:p>
        </w:tc>
        <w:tc>
          <w:tcPr>
            <w:tcW w:type="dxa" w:w="3402"/>
            <w:tcBorders>
              <w:top w:val="single" w:sz="6" w:color="BFBFBF"/>
              <w:left w:val="single" w:sz="6" w:color="BFBFBF"/>
              <w:bottom w:val="single" w:sz="6" w:color="BFBFBF"/>
              <w:right w:val="single" w:sz="6" w:color="BFBFBF"/>
            </w:tcBorders>
          </w:tcPr>
          <w:p>
            <w:r/>
            <w:r>
              <w:rPr>
                <w:rFonts w:ascii="Arial" w:hAnsi="Arial"/>
                <w:sz w:val="20"/>
              </w:rPr>
              <w:t>Microsoft</w:t>
            </w:r>
          </w:p>
        </w:tc>
      </w:tr>
    </w:tbl>
    <w:p/>
    <w:p>
      <w:pPr>
        <w:pStyle w:val="Heading1"/>
      </w:pPr>
      <w:r>
        <w:t>4. Module-level design</w:t>
      </w:r>
    </w:p>
    <w:p>
      <w:pPr>
        <w:pStyle w:val="Heading2"/>
      </w:pPr>
      <w:r>
        <w:t>4.1 General Ledger</w:t>
      </w:r>
    </w:p>
    <w:p>
      <w:r>
        <w:rPr>
          <w:rFonts w:ascii="Arial" w:hAnsi="Arial"/>
          <w:b w:val="0"/>
          <w:i w:val="0"/>
          <w:sz w:val="22"/>
        </w:rPr>
        <w:t>Single chart of accounts across all 6 entities (redesigned from 4 legacy structures). Multi-currency with EUR / GBP / USD as transaction currencies; consolidation in EUR. Standard period close in 5 working days target. Intercompany journals automated via centralised payments configuration.</w:t>
      </w:r>
    </w:p>
    <w:p>
      <w:pPr>
        <w:pStyle w:val="Heading2"/>
      </w:pPr>
      <w:r>
        <w:t>4.2 Procure-to-Pay</w:t>
      </w:r>
    </w:p>
    <w:p>
      <w:r>
        <w:rPr>
          <w:rFonts w:ascii="Arial" w:hAnsi="Arial"/>
          <w:b w:val="0"/>
          <w:i w:val="0"/>
          <w:sz w:val="22"/>
        </w:rPr>
        <w:t>Catalogue-driven requisitioning with automatic conversion to PO at approval. Three-way match (PO, GR, invoice) on goods. AP automation through SI's pre-built AP Hub — touchless invoice processing target 70% Year 1, 85% Year 2. See FDD: Procure-to-Pay for detail.</w:t>
      </w:r>
    </w:p>
    <w:p>
      <w:pPr>
        <w:pStyle w:val="Heading2"/>
      </w:pPr>
      <w:r>
        <w:t>4.3 Order-to-Cash</w:t>
      </w:r>
    </w:p>
    <w:p>
      <w:r>
        <w:rPr>
          <w:rFonts w:ascii="Arial" w:hAnsi="Arial"/>
          <w:b w:val="0"/>
          <w:i w:val="0"/>
          <w:sz w:val="22"/>
        </w:rPr>
        <w:t>Sales orders captured directly or via EDI for top-30 customers. ATP enabled for configurable products. Customer self-service portal for PO upload and invoice download. Standard credit limit enforcement; manual override with credit-controller approval.</w:t>
      </w:r>
    </w:p>
    <w:p>
      <w:pPr>
        <w:pStyle w:val="Heading2"/>
      </w:pPr>
      <w:r>
        <w:t>4.4 Inventory &amp; Supply Planning</w:t>
      </w:r>
    </w:p>
    <w:p>
      <w:r>
        <w:rPr>
          <w:rFonts w:ascii="Arial" w:hAnsi="Arial"/>
          <w:b w:val="0"/>
          <w:i w:val="0"/>
          <w:sz w:val="22"/>
        </w:rPr>
        <w:t>MRP-driven replenishment for items above £5,000 unit cost; min/max for the rest. Two warehouses in scope for Phase 1 (UK distribution centre + ROI hub) using D365 advanced warehousing with mobile picking. Cycle counting daily, full count quarterly.</w:t>
      </w:r>
    </w:p>
    <w:p>
      <w:pPr>
        <w:pStyle w:val="Heading2"/>
      </w:pPr>
      <w:r>
        <w:t>4.5 Reporting &amp; Analytics</w:t>
      </w:r>
    </w:p>
    <w:p>
      <w:r>
        <w:rPr>
          <w:rFonts w:ascii="Arial" w:hAnsi="Arial"/>
          <w:b w:val="0"/>
          <w:i w:val="0"/>
          <w:sz w:val="22"/>
        </w:rPr>
        <w:t>Embedded Power BI for daily operational reporting. Synapse Link feeds Group BI for consolidation and benchmarking. Standard report library covers 95% of legacy reports — 5% retired as legacy artefacts not used in last 12 months.</w:t>
      </w:r>
    </w:p>
    <w:p>
      <w:pPr>
        <w:pStyle w:val="Heading1"/>
      </w:pPr>
      <w:r>
        <w:t>5. Security model</w:t>
      </w:r>
    </w:p>
    <w:p>
      <w:r>
        <w:rPr>
          <w:rFonts w:ascii="Arial" w:hAnsi="Arial"/>
          <w:b w:val="0"/>
          <w:i w:val="0"/>
          <w:sz w:val="22"/>
        </w:rPr>
        <w:t>Out-of-the-box D365 security roles, with extensions where business processes require. Segregation of duties enforced through the standard rule set; conflict matrix maintained by Group Audit. Quarterly access review automated through Power Platform.</w:t>
      </w:r>
    </w:p>
    <w:tbl>
      <w:tblPr>
        <w:tblW w:type="auto" w:w="0"/>
        <w:tblLayout w:type="fixed"/>
        <w:tblLook w:firstColumn="1" w:firstRow="1" w:lastColumn="0" w:lastRow="0" w:noHBand="0" w:noVBand="1" w:val="04A0"/>
      </w:tblPr>
      <w:tblGrid>
        <w:gridCol w:w="2880"/>
        <w:gridCol w:w="2880"/>
        <w:gridCol w:w="2880"/>
      </w:tblGrid>
      <w:tr>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Security role family</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Number of roles</w:t>
            </w:r>
          </w:p>
        </w:tc>
        <w:tc>
          <w:tcPr>
            <w:tcW w:type="dxa" w:w="45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Notes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Finance</w:t>
            </w:r>
          </w:p>
        </w:tc>
        <w:tc>
          <w:tcPr>
            <w:tcW w:type="dxa" w:w="1701"/>
            <w:tcBorders>
              <w:top w:val="single" w:sz="6" w:color="BFBFBF"/>
              <w:left w:val="single" w:sz="6" w:color="BFBFBF"/>
              <w:bottom w:val="single" w:sz="6" w:color="BFBFBF"/>
              <w:right w:val="single" w:sz="6" w:color="BFBFBF"/>
            </w:tcBorders>
          </w:tcPr>
          <w:p>
            <w:r/>
            <w:r>
              <w:rPr>
                <w:rFonts w:ascii="Arial" w:hAnsi="Arial"/>
                <w:sz w:val="20"/>
              </w:rPr>
              <w:t>12</w:t>
            </w:r>
          </w:p>
        </w:tc>
        <w:tc>
          <w:tcPr>
            <w:tcW w:type="dxa" w:w="4535"/>
            <w:tcBorders>
              <w:top w:val="single" w:sz="6" w:color="BFBFBF"/>
              <w:left w:val="single" w:sz="6" w:color="BFBFBF"/>
              <w:bottom w:val="single" w:sz="6" w:color="BFBFBF"/>
              <w:right w:val="single" w:sz="6" w:color="BFBFBF"/>
            </w:tcBorders>
          </w:tcPr>
          <w:p>
            <w:r/>
            <w:r>
              <w:rPr>
                <w:rFonts w:ascii="Arial" w:hAnsi="Arial"/>
                <w:sz w:val="20"/>
              </w:rPr>
              <w:t>Includes split between Group / BU / Local</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Procurement</w:t>
            </w:r>
          </w:p>
        </w:tc>
        <w:tc>
          <w:tcPr>
            <w:tcW w:type="dxa" w:w="1701"/>
            <w:tcBorders>
              <w:top w:val="single" w:sz="6" w:color="BFBFBF"/>
              <w:left w:val="single" w:sz="6" w:color="BFBFBF"/>
              <w:bottom w:val="single" w:sz="6" w:color="BFBFBF"/>
              <w:right w:val="single" w:sz="6" w:color="BFBFBF"/>
            </w:tcBorders>
          </w:tcPr>
          <w:p>
            <w:r/>
            <w:r>
              <w:rPr>
                <w:rFonts w:ascii="Arial" w:hAnsi="Arial"/>
                <w:sz w:val="20"/>
              </w:rPr>
              <w:t>6</w:t>
            </w:r>
          </w:p>
        </w:tc>
        <w:tc>
          <w:tcPr>
            <w:tcW w:type="dxa" w:w="4535"/>
            <w:tcBorders>
              <w:top w:val="single" w:sz="6" w:color="BFBFBF"/>
              <w:left w:val="single" w:sz="6" w:color="BFBFBF"/>
              <w:bottom w:val="single" w:sz="6" w:color="BFBFBF"/>
              <w:right w:val="single" w:sz="6" w:color="BFBFBF"/>
            </w:tcBorders>
          </w:tcPr>
          <w:p>
            <w:r/>
            <w:r>
              <w:rPr>
                <w:rFonts w:ascii="Arial" w:hAnsi="Arial"/>
                <w:sz w:val="20"/>
              </w:rPr>
              <w:t>Buyer, Senior Buyer, CPO, etc.</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Sales</w:t>
            </w:r>
          </w:p>
        </w:tc>
        <w:tc>
          <w:tcPr>
            <w:tcW w:type="dxa" w:w="1701"/>
            <w:tcBorders>
              <w:top w:val="single" w:sz="6" w:color="BFBFBF"/>
              <w:left w:val="single" w:sz="6" w:color="BFBFBF"/>
              <w:bottom w:val="single" w:sz="6" w:color="BFBFBF"/>
              <w:right w:val="single" w:sz="6" w:color="BFBFBF"/>
            </w:tcBorders>
          </w:tcPr>
          <w:p>
            <w:r/>
            <w:r>
              <w:rPr>
                <w:rFonts w:ascii="Arial" w:hAnsi="Arial"/>
                <w:sz w:val="20"/>
              </w:rPr>
              <w:t>5</w:t>
            </w:r>
          </w:p>
        </w:tc>
        <w:tc>
          <w:tcPr>
            <w:tcW w:type="dxa" w:w="4535"/>
            <w:tcBorders>
              <w:top w:val="single" w:sz="6" w:color="BFBFBF"/>
              <w:left w:val="single" w:sz="6" w:color="BFBFBF"/>
              <w:bottom w:val="single" w:sz="6" w:color="BFBFBF"/>
              <w:right w:val="single" w:sz="6" w:color="BFBFBF"/>
            </w:tcBorders>
          </w:tcPr>
          <w:p>
            <w:r/>
            <w:r>
              <w:rPr>
                <w:rFonts w:ascii="Arial" w:hAnsi="Arial"/>
                <w:sz w:val="20"/>
              </w:rPr>
              <w:t>Order Entry, Account Manager, Commercial Lead</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Supply chain</w:t>
            </w:r>
          </w:p>
        </w:tc>
        <w:tc>
          <w:tcPr>
            <w:tcW w:type="dxa" w:w="1701"/>
            <w:tcBorders>
              <w:top w:val="single" w:sz="6" w:color="BFBFBF"/>
              <w:left w:val="single" w:sz="6" w:color="BFBFBF"/>
              <w:bottom w:val="single" w:sz="6" w:color="BFBFBF"/>
              <w:right w:val="single" w:sz="6" w:color="BFBFBF"/>
            </w:tcBorders>
          </w:tcPr>
          <w:p>
            <w:r/>
            <w:r>
              <w:rPr>
                <w:rFonts w:ascii="Arial" w:hAnsi="Arial"/>
                <w:sz w:val="20"/>
              </w:rPr>
              <w:t>8</w:t>
            </w:r>
          </w:p>
        </w:tc>
        <w:tc>
          <w:tcPr>
            <w:tcW w:type="dxa" w:w="4535"/>
            <w:tcBorders>
              <w:top w:val="single" w:sz="6" w:color="BFBFBF"/>
              <w:left w:val="single" w:sz="6" w:color="BFBFBF"/>
              <w:bottom w:val="single" w:sz="6" w:color="BFBFBF"/>
              <w:right w:val="single" w:sz="6" w:color="BFBFBF"/>
            </w:tcBorders>
          </w:tcPr>
          <w:p>
            <w:r/>
            <w:r>
              <w:rPr>
                <w:rFonts w:ascii="Arial" w:hAnsi="Arial"/>
                <w:sz w:val="20"/>
              </w:rPr>
              <w:t>Inc. warehouse-mobile-only roles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Audit / read-only</w:t>
            </w:r>
          </w:p>
        </w:tc>
        <w:tc>
          <w:tcPr>
            <w:tcW w:type="dxa" w:w="1701"/>
            <w:tcBorders>
              <w:top w:val="single" w:sz="6" w:color="BFBFBF"/>
              <w:left w:val="single" w:sz="6" w:color="BFBFBF"/>
              <w:bottom w:val="single" w:sz="6" w:color="BFBFBF"/>
              <w:right w:val="single" w:sz="6" w:color="BFBFBF"/>
            </w:tcBorders>
          </w:tcPr>
          <w:p>
            <w:r/>
            <w:r>
              <w:rPr>
                <w:rFonts w:ascii="Arial" w:hAnsi="Arial"/>
                <w:sz w:val="20"/>
              </w:rPr>
              <w:t>3</w:t>
            </w:r>
          </w:p>
        </w:tc>
        <w:tc>
          <w:tcPr>
            <w:tcW w:type="dxa" w:w="4535"/>
            <w:tcBorders>
              <w:top w:val="single" w:sz="6" w:color="BFBFBF"/>
              <w:left w:val="single" w:sz="6" w:color="BFBFBF"/>
              <w:bottom w:val="single" w:sz="6" w:color="BFBFBF"/>
              <w:right w:val="single" w:sz="6" w:color="BFBFBF"/>
            </w:tcBorders>
          </w:tcPr>
          <w:p>
            <w:r/>
            <w:r>
              <w:rPr>
                <w:rFonts w:ascii="Arial" w:hAnsi="Arial"/>
                <w:sz w:val="20"/>
              </w:rPr>
              <w:t>Internal, External, SOX evidence</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IT / admin</w:t>
            </w:r>
          </w:p>
        </w:tc>
        <w:tc>
          <w:tcPr>
            <w:tcW w:type="dxa" w:w="1701"/>
            <w:tcBorders>
              <w:top w:val="single" w:sz="6" w:color="BFBFBF"/>
              <w:left w:val="single" w:sz="6" w:color="BFBFBF"/>
              <w:bottom w:val="single" w:sz="6" w:color="BFBFBF"/>
              <w:right w:val="single" w:sz="6" w:color="BFBFBF"/>
            </w:tcBorders>
          </w:tcPr>
          <w:p>
            <w:r/>
            <w:r>
              <w:rPr>
                <w:rFonts w:ascii="Arial" w:hAnsi="Arial"/>
                <w:sz w:val="20"/>
              </w:rPr>
              <w:t>4</w:t>
            </w:r>
          </w:p>
        </w:tc>
        <w:tc>
          <w:tcPr>
            <w:tcW w:type="dxa" w:w="4535"/>
            <w:tcBorders>
              <w:top w:val="single" w:sz="6" w:color="BFBFBF"/>
              <w:left w:val="single" w:sz="6" w:color="BFBFBF"/>
              <w:bottom w:val="single" w:sz="6" w:color="BFBFBF"/>
              <w:right w:val="single" w:sz="6" w:color="BFBFBF"/>
            </w:tcBorders>
          </w:tcPr>
          <w:p>
            <w:r/>
            <w:r>
              <w:rPr>
                <w:rFonts w:ascii="Arial" w:hAnsi="Arial"/>
                <w:sz w:val="20"/>
              </w:rPr>
              <w:t>Restricted; SoX-relevant</w:t>
            </w:r>
          </w:p>
        </w:tc>
      </w:tr>
    </w:tbl>
    <w:p/>
    <w:p>
      <w:pPr>
        <w:pStyle w:val="Heading1"/>
      </w:pPr>
      <w:r>
        <w:t>6. Integration approach</w:t>
      </w:r>
    </w:p>
    <w:p>
      <w:r>
        <w:rPr>
          <w:rFonts w:ascii="Arial" w:hAnsi="Arial"/>
          <w:b w:val="0"/>
          <w:i w:val="0"/>
          <w:sz w:val="22"/>
        </w:rPr>
        <w:t>14 integrations in scope. Integration platform is Azure Logic Apps with custom connectors where standard connectors are unavailable. Each integration has its own specification (see Integration Specification template). API-first; file-based interfaces only where the external system cannot expose APIs.</w:t>
      </w:r>
    </w:p>
    <w:tbl>
      <w:tblPr>
        <w:tblW w:type="auto" w:w="0"/>
        <w:tblLayout w:type="fixed"/>
        <w:tblLook w:firstColumn="1" w:firstRow="1" w:lastColumn="0" w:lastRow="0" w:noHBand="0" w:noVBand="1" w:val="04A0"/>
      </w:tblPr>
      <w:tblGrid>
        <w:gridCol w:w="1728"/>
        <w:gridCol w:w="1728"/>
        <w:gridCol w:w="1728"/>
        <w:gridCol w:w="1728"/>
        <w:gridCol w:w="1728"/>
      </w:tblGrid>
      <w:tr>
        <w:tc>
          <w:tcPr>
            <w:tcW w:type="dxa" w:w="567"/>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Integration</w:t>
            </w:r>
          </w:p>
        </w:tc>
        <w:tc>
          <w:tcPr>
            <w:tcW w:type="dxa" w:w="1417"/>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Direction</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Pattern</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Frequency</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1</w:t>
            </w:r>
          </w:p>
        </w:tc>
        <w:tc>
          <w:tcPr>
            <w:tcW w:type="dxa" w:w="2835"/>
            <w:tcBorders>
              <w:top w:val="single" w:sz="6" w:color="BFBFBF"/>
              <w:left w:val="single" w:sz="6" w:color="BFBFBF"/>
              <w:bottom w:val="single" w:sz="6" w:color="BFBFBF"/>
              <w:right w:val="single" w:sz="6" w:color="BFBFBF"/>
            </w:tcBorders>
          </w:tcPr>
          <w:p>
            <w:r/>
            <w:r>
              <w:rPr>
                <w:rFonts w:ascii="Arial" w:hAnsi="Arial"/>
                <w:sz w:val="20"/>
              </w:rPr>
              <w:t>HR system → ERP (employees, cost centres)</w:t>
            </w:r>
          </w:p>
        </w:tc>
        <w:tc>
          <w:tcPr>
            <w:tcW w:type="dxa" w:w="1417"/>
            <w:tcBorders>
              <w:top w:val="single" w:sz="6" w:color="BFBFBF"/>
              <w:left w:val="single" w:sz="6" w:color="BFBFBF"/>
              <w:bottom w:val="single" w:sz="6" w:color="BFBFBF"/>
              <w:right w:val="single" w:sz="6" w:color="BFBFBF"/>
            </w:tcBorders>
          </w:tcPr>
          <w:p>
            <w:r/>
            <w:r>
              <w:rPr>
                <w:rFonts w:ascii="Arial" w:hAnsi="Arial"/>
                <w:sz w:val="20"/>
              </w:rPr>
              <w:t>Inbound</w:t>
            </w:r>
          </w:p>
        </w:tc>
        <w:tc>
          <w:tcPr>
            <w:tcW w:type="dxa" w:w="1701"/>
            <w:tcBorders>
              <w:top w:val="single" w:sz="6" w:color="BFBFBF"/>
              <w:left w:val="single" w:sz="6" w:color="BFBFBF"/>
              <w:bottom w:val="single" w:sz="6" w:color="BFBFBF"/>
              <w:right w:val="single" w:sz="6" w:color="BFBFBF"/>
            </w:tcBorders>
          </w:tcPr>
          <w:p>
            <w:r/>
            <w:r>
              <w:rPr>
                <w:rFonts w:ascii="Arial" w:hAnsi="Arial"/>
                <w:sz w:val="20"/>
              </w:rPr>
              <w:t>API</w:t>
            </w:r>
          </w:p>
        </w:tc>
        <w:tc>
          <w:tcPr>
            <w:tcW w:type="dxa" w:w="2268"/>
            <w:tcBorders>
              <w:top w:val="single" w:sz="6" w:color="BFBFBF"/>
              <w:left w:val="single" w:sz="6" w:color="BFBFBF"/>
              <w:bottom w:val="single" w:sz="6" w:color="BFBFBF"/>
              <w:right w:val="single" w:sz="6" w:color="BFBFBF"/>
            </w:tcBorders>
          </w:tcPr>
          <w:p>
            <w:r/>
            <w:r>
              <w:rPr>
                <w:rFonts w:ascii="Arial" w:hAnsi="Arial"/>
                <w:sz w:val="20"/>
              </w:rPr>
              <w:t>Daily</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2</w:t>
            </w:r>
          </w:p>
        </w:tc>
        <w:tc>
          <w:tcPr>
            <w:tcW w:type="dxa" w:w="2835"/>
            <w:tcBorders>
              <w:top w:val="single" w:sz="6" w:color="BFBFBF"/>
              <w:left w:val="single" w:sz="6" w:color="BFBFBF"/>
              <w:bottom w:val="single" w:sz="6" w:color="BFBFBF"/>
              <w:right w:val="single" w:sz="6" w:color="BFBFBF"/>
            </w:tcBorders>
          </w:tcPr>
          <w:p>
            <w:r/>
            <w:r>
              <w:rPr>
                <w:rFonts w:ascii="Arial" w:hAnsi="Arial"/>
                <w:sz w:val="20"/>
              </w:rPr>
              <w:t>Bank ↔ ERP (statements &amp; payments)</w:t>
            </w:r>
          </w:p>
        </w:tc>
        <w:tc>
          <w:tcPr>
            <w:tcW w:type="dxa" w:w="1417"/>
            <w:tcBorders>
              <w:top w:val="single" w:sz="6" w:color="BFBFBF"/>
              <w:left w:val="single" w:sz="6" w:color="BFBFBF"/>
              <w:bottom w:val="single" w:sz="6" w:color="BFBFBF"/>
              <w:right w:val="single" w:sz="6" w:color="BFBFBF"/>
            </w:tcBorders>
          </w:tcPr>
          <w:p>
            <w:r/>
            <w:r>
              <w:rPr>
                <w:rFonts w:ascii="Arial" w:hAnsi="Arial"/>
                <w:sz w:val="20"/>
              </w:rPr>
              <w:t>Bidirectional</w:t>
            </w:r>
          </w:p>
        </w:tc>
        <w:tc>
          <w:tcPr>
            <w:tcW w:type="dxa" w:w="1701"/>
            <w:tcBorders>
              <w:top w:val="single" w:sz="6" w:color="BFBFBF"/>
              <w:left w:val="single" w:sz="6" w:color="BFBFBF"/>
              <w:bottom w:val="single" w:sz="6" w:color="BFBFBF"/>
              <w:right w:val="single" w:sz="6" w:color="BFBFBF"/>
            </w:tcBorders>
          </w:tcPr>
          <w:p>
            <w:r/>
            <w:r>
              <w:rPr>
                <w:rFonts w:ascii="Arial" w:hAnsi="Arial"/>
                <w:sz w:val="20"/>
              </w:rPr>
              <w:t>API + SWIFT</w:t>
            </w:r>
          </w:p>
        </w:tc>
        <w:tc>
          <w:tcPr>
            <w:tcW w:type="dxa" w:w="2268"/>
            <w:tcBorders>
              <w:top w:val="single" w:sz="6" w:color="BFBFBF"/>
              <w:left w:val="single" w:sz="6" w:color="BFBFBF"/>
              <w:bottom w:val="single" w:sz="6" w:color="BFBFBF"/>
              <w:right w:val="single" w:sz="6" w:color="BFBFBF"/>
            </w:tcBorders>
          </w:tcPr>
          <w:p>
            <w:r/>
            <w:r>
              <w:rPr>
                <w:rFonts w:ascii="Arial" w:hAnsi="Arial"/>
                <w:sz w:val="20"/>
              </w:rPr>
              <w:t>Real-time</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3</w:t>
            </w:r>
          </w:p>
        </w:tc>
        <w:tc>
          <w:tcPr>
            <w:tcW w:type="dxa" w:w="2835"/>
            <w:tcBorders>
              <w:top w:val="single" w:sz="6" w:color="BFBFBF"/>
              <w:left w:val="single" w:sz="6" w:color="BFBFBF"/>
              <w:bottom w:val="single" w:sz="6" w:color="BFBFBF"/>
              <w:right w:val="single" w:sz="6" w:color="BFBFBF"/>
            </w:tcBorders>
          </w:tcPr>
          <w:p>
            <w:r/>
            <w:r>
              <w:rPr>
                <w:rFonts w:ascii="Arial" w:hAnsi="Arial"/>
                <w:sz w:val="20"/>
              </w:rPr>
              <w:t>Tax engine ↔ ERP</w:t>
            </w:r>
          </w:p>
        </w:tc>
        <w:tc>
          <w:tcPr>
            <w:tcW w:type="dxa" w:w="1417"/>
            <w:tcBorders>
              <w:top w:val="single" w:sz="6" w:color="BFBFBF"/>
              <w:left w:val="single" w:sz="6" w:color="BFBFBF"/>
              <w:bottom w:val="single" w:sz="6" w:color="BFBFBF"/>
              <w:right w:val="single" w:sz="6" w:color="BFBFBF"/>
            </w:tcBorders>
          </w:tcPr>
          <w:p>
            <w:r/>
            <w:r>
              <w:rPr>
                <w:rFonts w:ascii="Arial" w:hAnsi="Arial"/>
                <w:sz w:val="20"/>
              </w:rPr>
              <w:t>Bidirectional</w:t>
            </w:r>
          </w:p>
        </w:tc>
        <w:tc>
          <w:tcPr>
            <w:tcW w:type="dxa" w:w="1701"/>
            <w:tcBorders>
              <w:top w:val="single" w:sz="6" w:color="BFBFBF"/>
              <w:left w:val="single" w:sz="6" w:color="BFBFBF"/>
              <w:bottom w:val="single" w:sz="6" w:color="BFBFBF"/>
              <w:right w:val="single" w:sz="6" w:color="BFBFBF"/>
            </w:tcBorders>
          </w:tcPr>
          <w:p>
            <w:r/>
            <w:r>
              <w:rPr>
                <w:rFonts w:ascii="Arial" w:hAnsi="Arial"/>
                <w:sz w:val="20"/>
              </w:rPr>
              <w:t>API</w:t>
            </w:r>
          </w:p>
        </w:tc>
        <w:tc>
          <w:tcPr>
            <w:tcW w:type="dxa" w:w="2268"/>
            <w:tcBorders>
              <w:top w:val="single" w:sz="6" w:color="BFBFBF"/>
              <w:left w:val="single" w:sz="6" w:color="BFBFBF"/>
              <w:bottom w:val="single" w:sz="6" w:color="BFBFBF"/>
              <w:right w:val="single" w:sz="6" w:color="BFBFBF"/>
            </w:tcBorders>
          </w:tcPr>
          <w:p>
            <w:r/>
            <w:r>
              <w:rPr>
                <w:rFonts w:ascii="Arial" w:hAnsi="Arial"/>
                <w:sz w:val="20"/>
              </w:rPr>
              <w:t>Real-time</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4</w:t>
            </w:r>
          </w:p>
        </w:tc>
        <w:tc>
          <w:tcPr>
            <w:tcW w:type="dxa" w:w="2835"/>
            <w:tcBorders>
              <w:top w:val="single" w:sz="6" w:color="BFBFBF"/>
              <w:left w:val="single" w:sz="6" w:color="BFBFBF"/>
              <w:bottom w:val="single" w:sz="6" w:color="BFBFBF"/>
              <w:right w:val="single" w:sz="6" w:color="BFBFBF"/>
            </w:tcBorders>
          </w:tcPr>
          <w:p>
            <w:r/>
            <w:r>
              <w:rPr>
                <w:rFonts w:ascii="Arial" w:hAnsi="Arial"/>
                <w:sz w:val="20"/>
              </w:rPr>
              <w:t>EDI gateway ↔ ERP (top-30 customers)</w:t>
            </w:r>
          </w:p>
        </w:tc>
        <w:tc>
          <w:tcPr>
            <w:tcW w:type="dxa" w:w="1417"/>
            <w:tcBorders>
              <w:top w:val="single" w:sz="6" w:color="BFBFBF"/>
              <w:left w:val="single" w:sz="6" w:color="BFBFBF"/>
              <w:bottom w:val="single" w:sz="6" w:color="BFBFBF"/>
              <w:right w:val="single" w:sz="6" w:color="BFBFBF"/>
            </w:tcBorders>
          </w:tcPr>
          <w:p>
            <w:r/>
            <w:r>
              <w:rPr>
                <w:rFonts w:ascii="Arial" w:hAnsi="Arial"/>
                <w:sz w:val="20"/>
              </w:rPr>
              <w:t>Bidirectional</w:t>
            </w:r>
          </w:p>
        </w:tc>
        <w:tc>
          <w:tcPr>
            <w:tcW w:type="dxa" w:w="1701"/>
            <w:tcBorders>
              <w:top w:val="single" w:sz="6" w:color="BFBFBF"/>
              <w:left w:val="single" w:sz="6" w:color="BFBFBF"/>
              <w:bottom w:val="single" w:sz="6" w:color="BFBFBF"/>
              <w:right w:val="single" w:sz="6" w:color="BFBFBF"/>
            </w:tcBorders>
          </w:tcPr>
          <w:p>
            <w:r/>
            <w:r>
              <w:rPr>
                <w:rFonts w:ascii="Arial" w:hAnsi="Arial"/>
                <w:sz w:val="20"/>
              </w:rPr>
              <w:t>EDI 850/810/856</w:t>
            </w:r>
          </w:p>
        </w:tc>
        <w:tc>
          <w:tcPr>
            <w:tcW w:type="dxa" w:w="2268"/>
            <w:tcBorders>
              <w:top w:val="single" w:sz="6" w:color="BFBFBF"/>
              <w:left w:val="single" w:sz="6" w:color="BFBFBF"/>
              <w:bottom w:val="single" w:sz="6" w:color="BFBFBF"/>
              <w:right w:val="single" w:sz="6" w:color="BFBFBF"/>
            </w:tcBorders>
          </w:tcPr>
          <w:p>
            <w:r/>
            <w:r>
              <w:rPr>
                <w:rFonts w:ascii="Arial" w:hAnsi="Arial"/>
                <w:sz w:val="20"/>
              </w:rPr>
              <w:t>Per transaction</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5</w:t>
            </w:r>
          </w:p>
        </w:tc>
        <w:tc>
          <w:tcPr>
            <w:tcW w:type="dxa" w:w="2835"/>
            <w:tcBorders>
              <w:top w:val="single" w:sz="6" w:color="BFBFBF"/>
              <w:left w:val="single" w:sz="6" w:color="BFBFBF"/>
              <w:bottom w:val="single" w:sz="6" w:color="BFBFBF"/>
              <w:right w:val="single" w:sz="6" w:color="BFBFBF"/>
            </w:tcBorders>
          </w:tcPr>
          <w:p>
            <w:r/>
            <w:r>
              <w:rPr>
                <w:rFonts w:ascii="Arial" w:hAnsi="Arial"/>
                <w:sz w:val="20"/>
              </w:rPr>
              <w:t>PIM → ERP (item master)</w:t>
            </w:r>
          </w:p>
        </w:tc>
        <w:tc>
          <w:tcPr>
            <w:tcW w:type="dxa" w:w="1417"/>
            <w:tcBorders>
              <w:top w:val="single" w:sz="6" w:color="BFBFBF"/>
              <w:left w:val="single" w:sz="6" w:color="BFBFBF"/>
              <w:bottom w:val="single" w:sz="6" w:color="BFBFBF"/>
              <w:right w:val="single" w:sz="6" w:color="BFBFBF"/>
            </w:tcBorders>
          </w:tcPr>
          <w:p>
            <w:r/>
            <w:r>
              <w:rPr>
                <w:rFonts w:ascii="Arial" w:hAnsi="Arial"/>
                <w:sz w:val="20"/>
              </w:rPr>
              <w:t>Inbound</w:t>
            </w:r>
          </w:p>
        </w:tc>
        <w:tc>
          <w:tcPr>
            <w:tcW w:type="dxa" w:w="1701"/>
            <w:tcBorders>
              <w:top w:val="single" w:sz="6" w:color="BFBFBF"/>
              <w:left w:val="single" w:sz="6" w:color="BFBFBF"/>
              <w:bottom w:val="single" w:sz="6" w:color="BFBFBF"/>
              <w:right w:val="single" w:sz="6" w:color="BFBFBF"/>
            </w:tcBorders>
          </w:tcPr>
          <w:p>
            <w:r/>
            <w:r>
              <w:rPr>
                <w:rFonts w:ascii="Arial" w:hAnsi="Arial"/>
                <w:sz w:val="20"/>
              </w:rPr>
              <w:t>API</w:t>
            </w:r>
          </w:p>
        </w:tc>
        <w:tc>
          <w:tcPr>
            <w:tcW w:type="dxa" w:w="2268"/>
            <w:tcBorders>
              <w:top w:val="single" w:sz="6" w:color="BFBFBF"/>
              <w:left w:val="single" w:sz="6" w:color="BFBFBF"/>
              <w:bottom w:val="single" w:sz="6" w:color="BFBFBF"/>
              <w:right w:val="single" w:sz="6" w:color="BFBFBF"/>
            </w:tcBorders>
          </w:tcPr>
          <w:p>
            <w:r/>
            <w:r>
              <w:rPr>
                <w:rFonts w:ascii="Arial" w:hAnsi="Arial"/>
                <w:sz w:val="20"/>
              </w:rPr>
              <w:t>Hourly</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6</w:t>
            </w:r>
          </w:p>
        </w:tc>
        <w:tc>
          <w:tcPr>
            <w:tcW w:type="dxa" w:w="2835"/>
            <w:tcBorders>
              <w:top w:val="single" w:sz="6" w:color="BFBFBF"/>
              <w:left w:val="single" w:sz="6" w:color="BFBFBF"/>
              <w:bottom w:val="single" w:sz="6" w:color="BFBFBF"/>
              <w:right w:val="single" w:sz="6" w:color="BFBFBF"/>
            </w:tcBorders>
          </w:tcPr>
          <w:p>
            <w:r/>
            <w:r>
              <w:rPr>
                <w:rFonts w:ascii="Arial" w:hAnsi="Arial"/>
                <w:sz w:val="20"/>
              </w:rPr>
              <w:t>WMS legacy ↔ ERP (warehouse 3)</w:t>
            </w:r>
          </w:p>
        </w:tc>
        <w:tc>
          <w:tcPr>
            <w:tcW w:type="dxa" w:w="1417"/>
            <w:tcBorders>
              <w:top w:val="single" w:sz="6" w:color="BFBFBF"/>
              <w:left w:val="single" w:sz="6" w:color="BFBFBF"/>
              <w:bottom w:val="single" w:sz="6" w:color="BFBFBF"/>
              <w:right w:val="single" w:sz="6" w:color="BFBFBF"/>
            </w:tcBorders>
          </w:tcPr>
          <w:p>
            <w:r/>
            <w:r>
              <w:rPr>
                <w:rFonts w:ascii="Arial" w:hAnsi="Arial"/>
                <w:sz w:val="20"/>
              </w:rPr>
              <w:t>Bidirectional</w:t>
            </w:r>
          </w:p>
        </w:tc>
        <w:tc>
          <w:tcPr>
            <w:tcW w:type="dxa" w:w="1701"/>
            <w:tcBorders>
              <w:top w:val="single" w:sz="6" w:color="BFBFBF"/>
              <w:left w:val="single" w:sz="6" w:color="BFBFBF"/>
              <w:bottom w:val="single" w:sz="6" w:color="BFBFBF"/>
              <w:right w:val="single" w:sz="6" w:color="BFBFBF"/>
            </w:tcBorders>
          </w:tcPr>
          <w:p>
            <w:r/>
            <w:r>
              <w:rPr>
                <w:rFonts w:ascii="Arial" w:hAnsi="Arial"/>
                <w:sz w:val="20"/>
              </w:rPr>
              <w:t>API</w:t>
            </w:r>
          </w:p>
        </w:tc>
        <w:tc>
          <w:tcPr>
            <w:tcW w:type="dxa" w:w="2268"/>
            <w:tcBorders>
              <w:top w:val="single" w:sz="6" w:color="BFBFBF"/>
              <w:left w:val="single" w:sz="6" w:color="BFBFBF"/>
              <w:bottom w:val="single" w:sz="6" w:color="BFBFBF"/>
              <w:right w:val="single" w:sz="6" w:color="BFBFBF"/>
            </w:tcBorders>
          </w:tcPr>
          <w:p>
            <w:r/>
            <w:r>
              <w:rPr>
                <w:rFonts w:ascii="Arial" w:hAnsi="Arial"/>
                <w:sz w:val="20"/>
              </w:rPr>
              <w:t>Real-time (Phase 2 retirement)</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7</w:t>
            </w:r>
          </w:p>
        </w:tc>
        <w:tc>
          <w:tcPr>
            <w:tcW w:type="dxa" w:w="2835"/>
            <w:tcBorders>
              <w:top w:val="single" w:sz="6" w:color="BFBFBF"/>
              <w:left w:val="single" w:sz="6" w:color="BFBFBF"/>
              <w:bottom w:val="single" w:sz="6" w:color="BFBFBF"/>
              <w:right w:val="single" w:sz="6" w:color="BFBFBF"/>
            </w:tcBorders>
          </w:tcPr>
          <w:p>
            <w:r/>
            <w:r>
              <w:rPr>
                <w:rFonts w:ascii="Arial" w:hAnsi="Arial"/>
                <w:sz w:val="20"/>
              </w:rPr>
              <w:t>Group BI ← ERP (Synapse)</w:t>
            </w:r>
          </w:p>
        </w:tc>
        <w:tc>
          <w:tcPr>
            <w:tcW w:type="dxa" w:w="1417"/>
            <w:tcBorders>
              <w:top w:val="single" w:sz="6" w:color="BFBFBF"/>
              <w:left w:val="single" w:sz="6" w:color="BFBFBF"/>
              <w:bottom w:val="single" w:sz="6" w:color="BFBFBF"/>
              <w:right w:val="single" w:sz="6" w:color="BFBFBF"/>
            </w:tcBorders>
          </w:tcPr>
          <w:p>
            <w:r/>
            <w:r>
              <w:rPr>
                <w:rFonts w:ascii="Arial" w:hAnsi="Arial"/>
                <w:sz w:val="20"/>
              </w:rPr>
              <w:t>Outbound</w:t>
            </w:r>
          </w:p>
        </w:tc>
        <w:tc>
          <w:tcPr>
            <w:tcW w:type="dxa" w:w="1701"/>
            <w:tcBorders>
              <w:top w:val="single" w:sz="6" w:color="BFBFBF"/>
              <w:left w:val="single" w:sz="6" w:color="BFBFBF"/>
              <w:bottom w:val="single" w:sz="6" w:color="BFBFBF"/>
              <w:right w:val="single" w:sz="6" w:color="BFBFBF"/>
            </w:tcBorders>
          </w:tcPr>
          <w:p>
            <w:r/>
            <w:r>
              <w:rPr>
                <w:rFonts w:ascii="Arial" w:hAnsi="Arial"/>
                <w:sz w:val="20"/>
              </w:rPr>
              <w:t>Synapse Link</w:t>
            </w:r>
          </w:p>
        </w:tc>
        <w:tc>
          <w:tcPr>
            <w:tcW w:type="dxa" w:w="2268"/>
            <w:tcBorders>
              <w:top w:val="single" w:sz="6" w:color="BFBFBF"/>
              <w:left w:val="single" w:sz="6" w:color="BFBFBF"/>
              <w:bottom w:val="single" w:sz="6" w:color="BFBFBF"/>
              <w:right w:val="single" w:sz="6" w:color="BFBFBF"/>
            </w:tcBorders>
          </w:tcPr>
          <w:p>
            <w:r/>
            <w:r>
              <w:rPr>
                <w:rFonts w:ascii="Arial" w:hAnsi="Arial"/>
                <w:sz w:val="20"/>
              </w:rPr>
              <w:t>Continuous</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8</w:t>
            </w:r>
          </w:p>
        </w:tc>
        <w:tc>
          <w:tcPr>
            <w:tcW w:type="dxa" w:w="2835"/>
            <w:tcBorders>
              <w:top w:val="single" w:sz="6" w:color="BFBFBF"/>
              <w:left w:val="single" w:sz="6" w:color="BFBFBF"/>
              <w:bottom w:val="single" w:sz="6" w:color="BFBFBF"/>
              <w:right w:val="single" w:sz="6" w:color="BFBFBF"/>
            </w:tcBorders>
          </w:tcPr>
          <w:p>
            <w:r/>
            <w:r>
              <w:rPr>
                <w:rFonts w:ascii="Arial" w:hAnsi="Arial"/>
                <w:sz w:val="20"/>
              </w:rPr>
              <w:t>MDM tool ↔ ERP (customer/supplier master)</w:t>
            </w:r>
          </w:p>
        </w:tc>
        <w:tc>
          <w:tcPr>
            <w:tcW w:type="dxa" w:w="1417"/>
            <w:tcBorders>
              <w:top w:val="single" w:sz="6" w:color="BFBFBF"/>
              <w:left w:val="single" w:sz="6" w:color="BFBFBF"/>
              <w:bottom w:val="single" w:sz="6" w:color="BFBFBF"/>
              <w:right w:val="single" w:sz="6" w:color="BFBFBF"/>
            </w:tcBorders>
          </w:tcPr>
          <w:p>
            <w:r/>
            <w:r>
              <w:rPr>
                <w:rFonts w:ascii="Arial" w:hAnsi="Arial"/>
                <w:sz w:val="20"/>
              </w:rPr>
              <w:t>Bidirectional</w:t>
            </w:r>
          </w:p>
        </w:tc>
        <w:tc>
          <w:tcPr>
            <w:tcW w:type="dxa" w:w="1701"/>
            <w:tcBorders>
              <w:top w:val="single" w:sz="6" w:color="BFBFBF"/>
              <w:left w:val="single" w:sz="6" w:color="BFBFBF"/>
              <w:bottom w:val="single" w:sz="6" w:color="BFBFBF"/>
              <w:right w:val="single" w:sz="6" w:color="BFBFBF"/>
            </w:tcBorders>
          </w:tcPr>
          <w:p>
            <w:r/>
            <w:r>
              <w:rPr>
                <w:rFonts w:ascii="Arial" w:hAnsi="Arial"/>
                <w:sz w:val="20"/>
              </w:rPr>
              <w:t>API</w:t>
            </w:r>
          </w:p>
        </w:tc>
        <w:tc>
          <w:tcPr>
            <w:tcW w:type="dxa" w:w="2268"/>
            <w:tcBorders>
              <w:top w:val="single" w:sz="6" w:color="BFBFBF"/>
              <w:left w:val="single" w:sz="6" w:color="BFBFBF"/>
              <w:bottom w:val="single" w:sz="6" w:color="BFBFBF"/>
              <w:right w:val="single" w:sz="6" w:color="BFBFBF"/>
            </w:tcBorders>
          </w:tcPr>
          <w:p>
            <w:r/>
            <w:r>
              <w:rPr>
                <w:rFonts w:ascii="Arial" w:hAnsi="Arial"/>
                <w:sz w:val="20"/>
              </w:rPr>
              <w:t>Daily</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9–14</w:t>
            </w:r>
          </w:p>
        </w:tc>
        <w:tc>
          <w:tcPr>
            <w:tcW w:type="dxa" w:w="2835"/>
            <w:tcBorders>
              <w:top w:val="single" w:sz="6" w:color="BFBFBF"/>
              <w:left w:val="single" w:sz="6" w:color="BFBFBF"/>
              <w:bottom w:val="single" w:sz="6" w:color="BFBFBF"/>
              <w:right w:val="single" w:sz="6" w:color="BFBFBF"/>
            </w:tcBorders>
          </w:tcPr>
          <w:p>
            <w:r/>
            <w:r>
              <w:rPr>
                <w:rFonts w:ascii="Arial" w:hAnsi="Arial"/>
                <w:sz w:val="20"/>
              </w:rPr>
              <w:t>Other (CRM, Treasury, Concur, etc.)</w:t>
            </w:r>
          </w:p>
        </w:tc>
        <w:tc>
          <w:tcPr>
            <w:tcW w:type="dxa" w:w="1417"/>
            <w:tcBorders>
              <w:top w:val="single" w:sz="6" w:color="BFBFBF"/>
              <w:left w:val="single" w:sz="6" w:color="BFBFBF"/>
              <w:bottom w:val="single" w:sz="6" w:color="BFBFBF"/>
              <w:right w:val="single" w:sz="6" w:color="BFBFBF"/>
            </w:tcBorders>
          </w:tcPr>
          <w:p>
            <w:r/>
            <w:r>
              <w:rPr>
                <w:rFonts w:ascii="Arial" w:hAnsi="Arial"/>
                <w:sz w:val="20"/>
              </w:rPr>
              <w:t>Various</w:t>
            </w:r>
          </w:p>
        </w:tc>
        <w:tc>
          <w:tcPr>
            <w:tcW w:type="dxa" w:w="1701"/>
            <w:tcBorders>
              <w:top w:val="single" w:sz="6" w:color="BFBFBF"/>
              <w:left w:val="single" w:sz="6" w:color="BFBFBF"/>
              <w:bottom w:val="single" w:sz="6" w:color="BFBFBF"/>
              <w:right w:val="single" w:sz="6" w:color="BFBFBF"/>
            </w:tcBorders>
          </w:tcPr>
          <w:p>
            <w:r/>
            <w:r>
              <w:rPr>
                <w:rFonts w:ascii="Arial" w:hAnsi="Arial"/>
                <w:sz w:val="20"/>
              </w:rPr>
              <w:t>Mostly API</w:t>
            </w:r>
          </w:p>
        </w:tc>
        <w:tc>
          <w:tcPr>
            <w:tcW w:type="dxa" w:w="2268"/>
            <w:tcBorders>
              <w:top w:val="single" w:sz="6" w:color="BFBFBF"/>
              <w:left w:val="single" w:sz="6" w:color="BFBFBF"/>
              <w:bottom w:val="single" w:sz="6" w:color="BFBFBF"/>
              <w:right w:val="single" w:sz="6" w:color="BFBFBF"/>
            </w:tcBorders>
          </w:tcPr>
          <w:p>
            <w:r/>
            <w:r>
              <w:rPr>
                <w:rFonts w:ascii="Arial" w:hAnsi="Arial"/>
                <w:sz w:val="20"/>
              </w:rPr>
              <w:t>Various</w:t>
            </w:r>
          </w:p>
        </w:tc>
      </w:tr>
    </w:tbl>
    <w:p/>
    <w:p>
      <w:pPr>
        <w:pStyle w:val="Heading1"/>
      </w:pPr>
      <w:r>
        <w:t>7. Data approach</w:t>
      </w:r>
    </w:p>
    <w:p>
      <w:r>
        <w:rPr>
          <w:rFonts w:ascii="Arial" w:hAnsi="Arial"/>
          <w:b w:val="0"/>
          <w:i w:val="0"/>
          <w:sz w:val="22"/>
        </w:rPr>
        <w:t>Detailed in the Data Strategy. Top-line: redesigned chart of accounts; cleansing-in-source preferred; 3 mock loads pre-go-live; 60-day legacy parallel for reconciliation. Migration specifications per source domain.</w:t>
      </w:r>
    </w:p>
    <w:p>
      <w:pPr>
        <w:pStyle w:val="Heading1"/>
      </w:pPr>
      <w:r>
        <w:t>8. Environments &amp; ALM</w:t>
      </w:r>
    </w:p>
    <w:p>
      <w:r>
        <w:rPr>
          <w:rFonts w:ascii="Arial" w:hAnsi="Arial"/>
          <w:b w:val="0"/>
          <w:i w:val="0"/>
          <w:sz w:val="22"/>
        </w:rPr>
        <w:t>Six-environment landscape: DEV (Tier-1) → BUILD VM → TEST (Tier-2) → UAT (Tier-2) → PROD-MIRROR (Tier-3) → PROD. ALM via Azure DevOps with the F&amp;O extension. Power Platform components managed via Power Platform Pipelines. Detailed in the DevOps &amp; Agile How-To Guide.</w:t>
      </w:r>
    </w:p>
    <w:p>
      <w:pPr>
        <w:pStyle w:val="Heading1"/>
      </w:pPr>
      <w:r>
        <w:t>9. Key design decisions</w:t>
      </w:r>
    </w:p>
    <w:tbl>
      <w:tblPr>
        <w:tblW w:type="auto" w:w="0"/>
        <w:tblLayout w:type="fixed"/>
        <w:tblLook w:firstColumn="1" w:firstRow="1" w:lastColumn="0" w:lastRow="0" w:noHBand="0" w:noVBand="1" w:val="04A0"/>
      </w:tblPr>
      <w:tblGrid>
        <w:gridCol w:w="2160"/>
        <w:gridCol w:w="2160"/>
        <w:gridCol w:w="2160"/>
        <w:gridCol w:w="2160"/>
      </w:tblGrid>
      <w:tr>
        <w:tc>
          <w:tcPr>
            <w:tcW w:type="dxa" w:w="850"/>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DD#</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Topic</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Decision</w:t>
            </w:r>
          </w:p>
        </w:tc>
        <w:tc>
          <w:tcPr>
            <w:tcW w:type="dxa" w:w="311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Rationale</w:t>
            </w:r>
          </w:p>
        </w:tc>
      </w:tr>
      <w:tr>
        <w:tc>
          <w:tcPr>
            <w:tcW w:type="dxa" w:w="850"/>
            <w:tcBorders>
              <w:top w:val="single" w:sz="6" w:color="BFBFBF"/>
              <w:left w:val="single" w:sz="6" w:color="BFBFBF"/>
              <w:bottom w:val="single" w:sz="6" w:color="BFBFBF"/>
              <w:right w:val="single" w:sz="6" w:color="BFBFBF"/>
            </w:tcBorders>
          </w:tcPr>
          <w:p>
            <w:r/>
            <w:r>
              <w:rPr>
                <w:rFonts w:ascii="Arial" w:hAnsi="Arial"/>
                <w:sz w:val="20"/>
              </w:rPr>
              <w:t>DD-001</w:t>
            </w:r>
          </w:p>
        </w:tc>
        <w:tc>
          <w:tcPr>
            <w:tcW w:type="dxa" w:w="2268"/>
            <w:tcBorders>
              <w:top w:val="single" w:sz="6" w:color="BFBFBF"/>
              <w:left w:val="single" w:sz="6" w:color="BFBFBF"/>
              <w:bottom w:val="single" w:sz="6" w:color="BFBFBF"/>
              <w:right w:val="single" w:sz="6" w:color="BFBFBF"/>
            </w:tcBorders>
          </w:tcPr>
          <w:p>
            <w:r/>
            <w:r>
              <w:rPr>
                <w:rFonts w:ascii="Arial" w:hAnsi="Arial"/>
                <w:sz w:val="20"/>
              </w:rPr>
              <w:t>Chart of accounts</w:t>
            </w:r>
          </w:p>
        </w:tc>
        <w:tc>
          <w:tcPr>
            <w:tcW w:type="dxa" w:w="2835"/>
            <w:tcBorders>
              <w:top w:val="single" w:sz="6" w:color="BFBFBF"/>
              <w:left w:val="single" w:sz="6" w:color="BFBFBF"/>
              <w:bottom w:val="single" w:sz="6" w:color="BFBFBF"/>
              <w:right w:val="single" w:sz="6" w:color="BFBFBF"/>
            </w:tcBorders>
          </w:tcPr>
          <w:p>
            <w:r/>
            <w:r>
              <w:rPr>
                <w:rFonts w:ascii="Arial" w:hAnsi="Arial"/>
                <w:sz w:val="20"/>
              </w:rPr>
              <w:t>Single redesigned CoA across all entities</w:t>
            </w:r>
          </w:p>
        </w:tc>
        <w:tc>
          <w:tcPr>
            <w:tcW w:type="dxa" w:w="3118"/>
            <w:tcBorders>
              <w:top w:val="single" w:sz="6" w:color="BFBFBF"/>
              <w:left w:val="single" w:sz="6" w:color="BFBFBF"/>
              <w:bottom w:val="single" w:sz="6" w:color="BFBFBF"/>
              <w:right w:val="single" w:sz="6" w:color="BFBFBF"/>
            </w:tcBorders>
          </w:tcPr>
          <w:p>
            <w:r/>
            <w:r>
              <w:rPr>
                <w:rFonts w:ascii="Arial" w:hAnsi="Arial"/>
                <w:sz w:val="20"/>
              </w:rPr>
              <w:t>Enables real-time consolidation; eliminates mapping layer</w:t>
            </w:r>
          </w:p>
        </w:tc>
      </w:tr>
      <w:tr>
        <w:tc>
          <w:tcPr>
            <w:tcW w:type="dxa" w:w="850"/>
            <w:tcBorders>
              <w:top w:val="single" w:sz="6" w:color="BFBFBF"/>
              <w:left w:val="single" w:sz="6" w:color="BFBFBF"/>
              <w:bottom w:val="single" w:sz="6" w:color="BFBFBF"/>
              <w:right w:val="single" w:sz="6" w:color="BFBFBF"/>
            </w:tcBorders>
          </w:tcPr>
          <w:p>
            <w:r/>
            <w:r>
              <w:rPr>
                <w:rFonts w:ascii="Arial" w:hAnsi="Arial"/>
                <w:sz w:val="20"/>
              </w:rPr>
              <w:t>DD-002</w:t>
            </w:r>
          </w:p>
        </w:tc>
        <w:tc>
          <w:tcPr>
            <w:tcW w:type="dxa" w:w="2268"/>
            <w:tcBorders>
              <w:top w:val="single" w:sz="6" w:color="BFBFBF"/>
              <w:left w:val="single" w:sz="6" w:color="BFBFBF"/>
              <w:bottom w:val="single" w:sz="6" w:color="BFBFBF"/>
              <w:right w:val="single" w:sz="6" w:color="BFBFBF"/>
            </w:tcBorders>
          </w:tcPr>
          <w:p>
            <w:r/>
            <w:r>
              <w:rPr>
                <w:rFonts w:ascii="Arial" w:hAnsi="Arial"/>
                <w:sz w:val="20"/>
              </w:rPr>
              <w:t>Procurement requisitioning</w:t>
            </w:r>
          </w:p>
        </w:tc>
        <w:tc>
          <w:tcPr>
            <w:tcW w:type="dxa" w:w="2835"/>
            <w:tcBorders>
              <w:top w:val="single" w:sz="6" w:color="BFBFBF"/>
              <w:left w:val="single" w:sz="6" w:color="BFBFBF"/>
              <w:bottom w:val="single" w:sz="6" w:color="BFBFBF"/>
              <w:right w:val="single" w:sz="6" w:color="BFBFBF"/>
            </w:tcBorders>
          </w:tcPr>
          <w:p>
            <w:r/>
            <w:r>
              <w:rPr>
                <w:rFonts w:ascii="Arial" w:hAnsi="Arial"/>
                <w:sz w:val="20"/>
              </w:rPr>
              <w:t>Catalogue-driven with auto-PO at approval</w:t>
            </w:r>
          </w:p>
        </w:tc>
        <w:tc>
          <w:tcPr>
            <w:tcW w:type="dxa" w:w="3118"/>
            <w:tcBorders>
              <w:top w:val="single" w:sz="6" w:color="BFBFBF"/>
              <w:left w:val="single" w:sz="6" w:color="BFBFBF"/>
              <w:bottom w:val="single" w:sz="6" w:color="BFBFBF"/>
              <w:right w:val="single" w:sz="6" w:color="BFBFBF"/>
            </w:tcBorders>
          </w:tcPr>
          <w:p>
            <w:r/>
            <w:r>
              <w:rPr>
                <w:rFonts w:ascii="Arial" w:hAnsi="Arial"/>
                <w:sz w:val="20"/>
              </w:rPr>
              <w:t>Drives spend compliance KPI</w:t>
            </w:r>
          </w:p>
        </w:tc>
      </w:tr>
      <w:tr>
        <w:tc>
          <w:tcPr>
            <w:tcW w:type="dxa" w:w="850"/>
            <w:tcBorders>
              <w:top w:val="single" w:sz="6" w:color="BFBFBF"/>
              <w:left w:val="single" w:sz="6" w:color="BFBFBF"/>
              <w:bottom w:val="single" w:sz="6" w:color="BFBFBF"/>
              <w:right w:val="single" w:sz="6" w:color="BFBFBF"/>
            </w:tcBorders>
          </w:tcPr>
          <w:p>
            <w:r/>
            <w:r>
              <w:rPr>
                <w:rFonts w:ascii="Arial" w:hAnsi="Arial"/>
                <w:sz w:val="20"/>
              </w:rPr>
              <w:t>DD-003</w:t>
            </w:r>
          </w:p>
        </w:tc>
        <w:tc>
          <w:tcPr>
            <w:tcW w:type="dxa" w:w="2268"/>
            <w:tcBorders>
              <w:top w:val="single" w:sz="6" w:color="BFBFBF"/>
              <w:left w:val="single" w:sz="6" w:color="BFBFBF"/>
              <w:bottom w:val="single" w:sz="6" w:color="BFBFBF"/>
              <w:right w:val="single" w:sz="6" w:color="BFBFBF"/>
            </w:tcBorders>
          </w:tcPr>
          <w:p>
            <w:r/>
            <w:r>
              <w:rPr>
                <w:rFonts w:ascii="Arial" w:hAnsi="Arial"/>
                <w:sz w:val="20"/>
              </w:rPr>
              <w:t>Inventory valuation</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Standard cost with monthly variance posting</w:t>
            </w:r>
          </w:p>
        </w:tc>
        <w:tc>
          <w:tcPr>
            <w:tcW w:type="dxa" w:w="3118"/>
            <w:tcBorders>
              <w:top w:val="single" w:sz="6" w:color="BFBFBF"/>
              <w:left w:val="single" w:sz="6" w:color="BFBFBF"/>
              <w:bottom w:val="single" w:sz="6" w:color="BFBFBF"/>
              <w:right w:val="single" w:sz="6" w:color="BFBFBF"/>
            </w:tcBorders>
          </w:tcPr>
          <w:p>
            <w:r/>
            <w:r>
              <w:rPr>
                <w:rFonts w:ascii="Arial" w:hAnsi="Arial"/>
                <w:sz w:val="20"/>
              </w:rPr>
              <w:t>Aligns with management reporting; reduces close complexity</w:t>
            </w:r>
          </w:p>
        </w:tc>
      </w:tr>
      <w:tr>
        <w:tc>
          <w:tcPr>
            <w:tcW w:type="dxa" w:w="850"/>
            <w:tcBorders>
              <w:top w:val="single" w:sz="6" w:color="BFBFBF"/>
              <w:left w:val="single" w:sz="6" w:color="BFBFBF"/>
              <w:bottom w:val="single" w:sz="6" w:color="BFBFBF"/>
              <w:right w:val="single" w:sz="6" w:color="BFBFBF"/>
            </w:tcBorders>
          </w:tcPr>
          <w:p>
            <w:r/>
            <w:r>
              <w:rPr>
                <w:rFonts w:ascii="Arial" w:hAnsi="Arial"/>
                <w:sz w:val="20"/>
              </w:rPr>
              <w:t>DD-004</w:t>
            </w:r>
          </w:p>
        </w:tc>
        <w:tc>
          <w:tcPr>
            <w:tcW w:type="dxa" w:w="2268"/>
            <w:tcBorders>
              <w:top w:val="single" w:sz="6" w:color="BFBFBF"/>
              <w:left w:val="single" w:sz="6" w:color="BFBFBF"/>
              <w:bottom w:val="single" w:sz="6" w:color="BFBFBF"/>
              <w:right w:val="single" w:sz="6" w:color="BFBFBF"/>
            </w:tcBorders>
          </w:tcPr>
          <w:p>
            <w:r/>
            <w:r>
              <w:rPr>
                <w:rFonts w:ascii="Arial" w:hAnsi="Arial"/>
                <w:sz w:val="20"/>
              </w:rPr>
              <w:t>Customer credit</w:t>
            </w:r>
          </w:p>
        </w:tc>
        <w:tc>
          <w:tcPr>
            <w:tcW w:type="dxa" w:w="2835"/>
            <w:tcBorders>
              <w:top w:val="single" w:sz="6" w:color="BFBFBF"/>
              <w:left w:val="single" w:sz="6" w:color="BFBFBF"/>
              <w:bottom w:val="single" w:sz="6" w:color="BFBFBF"/>
              <w:right w:val="single" w:sz="6" w:color="BFBFBF"/>
            </w:tcBorders>
          </w:tcPr>
          <w:p>
            <w:r/>
            <w:r>
              <w:rPr>
                <w:rFonts w:ascii="Arial" w:hAnsi="Arial"/>
                <w:sz w:val="20"/>
              </w:rPr>
              <w:t>Hard block on credit limit breach</w:t>
            </w:r>
          </w:p>
        </w:tc>
        <w:tc>
          <w:tcPr>
            <w:tcW w:type="dxa" w:w="3118"/>
            <w:tcBorders>
              <w:top w:val="single" w:sz="6" w:color="BFBFBF"/>
              <w:left w:val="single" w:sz="6" w:color="BFBFBF"/>
              <w:bottom w:val="single" w:sz="6" w:color="BFBFBF"/>
              <w:right w:val="single" w:sz="6" w:color="BFBFBF"/>
            </w:tcBorders>
          </w:tcPr>
          <w:p>
            <w:r/>
            <w:r>
              <w:rPr>
                <w:rFonts w:ascii="Arial" w:hAnsi="Arial"/>
                <w:sz w:val="20"/>
              </w:rPr>
              <w:t>Reduces credit losses; agreed override path for top-30</w:t>
            </w:r>
          </w:p>
        </w:tc>
      </w:tr>
      <w:tr>
        <w:tc>
          <w:tcPr>
            <w:tcW w:type="dxa" w:w="850"/>
            <w:tcBorders>
              <w:top w:val="single" w:sz="6" w:color="BFBFBF"/>
              <w:left w:val="single" w:sz="6" w:color="BFBFBF"/>
              <w:bottom w:val="single" w:sz="6" w:color="BFBFBF"/>
              <w:right w:val="single" w:sz="6" w:color="BFBFBF"/>
            </w:tcBorders>
          </w:tcPr>
          <w:p>
            <w:r/>
            <w:r>
              <w:rPr>
                <w:rFonts w:ascii="Arial" w:hAnsi="Arial"/>
                <w:sz w:val="20"/>
              </w:rPr>
              <w:t>DD-005</w:t>
            </w:r>
          </w:p>
        </w:tc>
        <w:tc>
          <w:tcPr>
            <w:tcW w:type="dxa" w:w="2268"/>
            <w:tcBorders>
              <w:top w:val="single" w:sz="6" w:color="BFBFBF"/>
              <w:left w:val="single" w:sz="6" w:color="BFBFBF"/>
              <w:bottom w:val="single" w:sz="6" w:color="BFBFBF"/>
              <w:right w:val="single" w:sz="6" w:color="BFBFBF"/>
            </w:tcBorders>
          </w:tcPr>
          <w:p>
            <w:r/>
            <w:r>
              <w:rPr>
                <w:rFonts w:ascii="Arial" w:hAnsi="Arial"/>
                <w:sz w:val="20"/>
              </w:rPr>
              <w:t>Multi-currency</w:t>
            </w:r>
          </w:p>
        </w:tc>
        <w:tc>
          <w:tcPr>
            <w:tcW w:type="dxa" w:w="2835"/>
            <w:tcBorders>
              <w:top w:val="single" w:sz="6" w:color="BFBFBF"/>
              <w:left w:val="single" w:sz="6" w:color="BFBFBF"/>
              <w:bottom w:val="single" w:sz="6" w:color="BFBFBF"/>
              <w:right w:val="single" w:sz="6" w:color="BFBFBF"/>
            </w:tcBorders>
          </w:tcPr>
          <w:p>
            <w:r/>
            <w:r>
              <w:rPr>
                <w:rFonts w:ascii="Arial" w:hAnsi="Arial"/>
                <w:sz w:val="20"/>
              </w:rPr>
              <w:t>Transaction in entity currency, consolidation in EUR</w:t>
            </w:r>
          </w:p>
        </w:tc>
        <w:tc>
          <w:tcPr>
            <w:tcW w:type="dxa" w:w="3118"/>
            <w:tcBorders>
              <w:top w:val="single" w:sz="6" w:color="BFBFBF"/>
              <w:left w:val="single" w:sz="6" w:color="BFBFBF"/>
              <w:bottom w:val="single" w:sz="6" w:color="BFBFBF"/>
              <w:right w:val="single" w:sz="6" w:color="BFBFBF"/>
            </w:tcBorders>
          </w:tcPr>
          <w:p>
            <w:r/>
            <w:r>
              <w:rPr>
                <w:rFonts w:ascii="Arial" w:hAnsi="Arial"/>
                <w:sz w:val="20"/>
              </w:rPr>
              <w:t>Removes FX adjustments at close</w:t>
            </w:r>
          </w:p>
        </w:tc>
      </w:tr>
      <w:tr>
        <w:tc>
          <w:tcPr>
            <w:tcW w:type="dxa" w:w="850"/>
            <w:tcBorders>
              <w:top w:val="single" w:sz="6" w:color="BFBFBF"/>
              <w:left w:val="single" w:sz="6" w:color="BFBFBF"/>
              <w:bottom w:val="single" w:sz="6" w:color="BFBFBF"/>
              <w:right w:val="single" w:sz="6" w:color="BFBFBF"/>
            </w:tcBorders>
          </w:tcPr>
          <w:p>
            <w:r/>
            <w:r>
              <w:rPr>
                <w:rFonts w:ascii="Arial" w:hAnsi="Arial"/>
                <w:sz w:val="20"/>
              </w:rPr>
              <w:t>DD-006</w:t>
            </w:r>
          </w:p>
        </w:tc>
        <w:tc>
          <w:tcPr>
            <w:tcW w:type="dxa" w:w="2268"/>
            <w:tcBorders>
              <w:top w:val="single" w:sz="6" w:color="BFBFBF"/>
              <w:left w:val="single" w:sz="6" w:color="BFBFBF"/>
              <w:bottom w:val="single" w:sz="6" w:color="BFBFBF"/>
              <w:right w:val="single" w:sz="6" w:color="BFBFBF"/>
            </w:tcBorders>
          </w:tcPr>
          <w:p>
            <w:r/>
            <w:r>
              <w:rPr>
                <w:rFonts w:ascii="Arial" w:hAnsi="Arial"/>
                <w:sz w:val="20"/>
              </w:rPr>
              <w:t>Master data ownership</w:t>
            </w:r>
          </w:p>
        </w:tc>
        <w:tc>
          <w:tcPr>
            <w:tcW w:type="dxa" w:w="2835"/>
            <w:tcBorders>
              <w:top w:val="single" w:sz="6" w:color="BFBFBF"/>
              <w:left w:val="single" w:sz="6" w:color="BFBFBF"/>
              <w:bottom w:val="single" w:sz="6" w:color="BFBFBF"/>
              <w:right w:val="single" w:sz="6" w:color="BFBFBF"/>
            </w:tcBorders>
          </w:tcPr>
          <w:p>
            <w:r/>
            <w:r>
              <w:rPr>
                <w:rFonts w:ascii="Arial" w:hAnsi="Arial"/>
                <w:sz w:val="20"/>
              </w:rPr>
              <w:t>External MDM tool; ERP is consumer not master</w:t>
            </w:r>
          </w:p>
        </w:tc>
        <w:tc>
          <w:tcPr>
            <w:tcW w:type="dxa" w:w="3118"/>
            <w:tcBorders>
              <w:top w:val="single" w:sz="6" w:color="BFBFBF"/>
              <w:left w:val="single" w:sz="6" w:color="BFBFBF"/>
              <w:bottom w:val="single" w:sz="6" w:color="BFBFBF"/>
              <w:right w:val="single" w:sz="6" w:color="BFBFBF"/>
            </w:tcBorders>
          </w:tcPr>
          <w:p>
            <w:r/>
            <w:r>
              <w:rPr>
                <w:rFonts w:ascii="Arial" w:hAnsi="Arial"/>
                <w:sz w:val="20"/>
              </w:rPr>
              <w:t>Compliance with Group MDM strategy</w:t>
            </w:r>
          </w:p>
        </w:tc>
      </w:tr>
      <w:tr>
        <w:tc>
          <w:tcPr>
            <w:tcW w:type="dxa" w:w="850"/>
            <w:tcBorders>
              <w:top w:val="single" w:sz="6" w:color="BFBFBF"/>
              <w:left w:val="single" w:sz="6" w:color="BFBFBF"/>
              <w:bottom w:val="single" w:sz="6" w:color="BFBFBF"/>
              <w:right w:val="single" w:sz="6" w:color="BFBFBF"/>
            </w:tcBorders>
          </w:tcPr>
          <w:p>
            <w:r/>
            <w:r>
              <w:rPr>
                <w:rFonts w:ascii="Arial" w:hAnsi="Arial"/>
                <w:sz w:val="20"/>
              </w:rPr>
              <w:t>DD-007</w:t>
            </w:r>
          </w:p>
        </w:tc>
        <w:tc>
          <w:tcPr>
            <w:tcW w:type="dxa" w:w="2268"/>
            <w:tcBorders>
              <w:top w:val="single" w:sz="6" w:color="BFBFBF"/>
              <w:left w:val="single" w:sz="6" w:color="BFBFBF"/>
              <w:bottom w:val="single" w:sz="6" w:color="BFBFBF"/>
              <w:right w:val="single" w:sz="6" w:color="BFBFBF"/>
            </w:tcBorders>
          </w:tcPr>
          <w:p>
            <w:r/>
            <w:r>
              <w:rPr>
                <w:rFonts w:ascii="Arial" w:hAnsi="Arial"/>
                <w:sz w:val="20"/>
              </w:rPr>
              <w:t>Reporting</w:t>
            </w:r>
          </w:p>
        </w:tc>
        <w:tc>
          <w:tcPr>
            <w:tcW w:type="dxa" w:w="2835"/>
            <w:tcBorders>
              <w:top w:val="single" w:sz="6" w:color="BFBFBF"/>
              <w:left w:val="single" w:sz="6" w:color="BFBFBF"/>
              <w:bottom w:val="single" w:sz="6" w:color="BFBFBF"/>
              <w:right w:val="single" w:sz="6" w:color="BFBFBF"/>
            </w:tcBorders>
          </w:tcPr>
          <w:p>
            <w:r/>
            <w:r>
              <w:rPr>
                <w:rFonts w:ascii="Arial" w:hAnsi="Arial"/>
                <w:sz w:val="20"/>
              </w:rPr>
              <w:t>Power BI for operational; Synapse for analytical</w:t>
            </w:r>
          </w:p>
        </w:tc>
        <w:tc>
          <w:tcPr>
            <w:tcW w:type="dxa" w:w="3118"/>
            <w:tcBorders>
              <w:top w:val="single" w:sz="6" w:color="BFBFBF"/>
              <w:left w:val="single" w:sz="6" w:color="BFBFBF"/>
              <w:bottom w:val="single" w:sz="6" w:color="BFBFBF"/>
              <w:right w:val="single" w:sz="6" w:color="BFBFBF"/>
            </w:tcBorders>
          </w:tcPr>
          <w:p>
            <w:r/>
            <w:r>
              <w:rPr>
                <w:rFonts w:ascii="Arial" w:hAnsi="Arial"/>
                <w:sz w:val="20"/>
              </w:rPr>
              <w:t>Uses existing licences; aligns to Group BI strategy</w:t>
            </w:r>
          </w:p>
        </w:tc>
      </w:tr>
      <w:tr>
        <w:tc>
          <w:tcPr>
            <w:tcW w:type="dxa" w:w="850"/>
            <w:tcBorders>
              <w:top w:val="single" w:sz="6" w:color="BFBFBF"/>
              <w:left w:val="single" w:sz="6" w:color="BFBFBF"/>
              <w:bottom w:val="single" w:sz="6" w:color="BFBFBF"/>
              <w:right w:val="single" w:sz="6" w:color="BFBFBF"/>
            </w:tcBorders>
          </w:tcPr>
          <w:p>
            <w:r/>
            <w:r>
              <w:rPr>
                <w:rFonts w:ascii="Arial" w:hAnsi="Arial"/>
                <w:sz w:val="20"/>
              </w:rPr>
              <w:t>DD-008</w:t>
            </w:r>
          </w:p>
        </w:tc>
        <w:tc>
          <w:tcPr>
            <w:tcW w:type="dxa" w:w="2268"/>
            <w:tcBorders>
              <w:top w:val="single" w:sz="6" w:color="BFBFBF"/>
              <w:left w:val="single" w:sz="6" w:color="BFBFBF"/>
              <w:bottom w:val="single" w:sz="6" w:color="BFBFBF"/>
              <w:right w:val="single" w:sz="6" w:color="BFBFBF"/>
            </w:tcBorders>
          </w:tcPr>
          <w:p>
            <w:r/>
            <w:r>
              <w:rPr>
                <w:rFonts w:ascii="Arial" w:hAnsi="Arial"/>
                <w:sz w:val="20"/>
              </w:rPr>
              <w:t>Hypercare model</w:t>
            </w:r>
          </w:p>
        </w:tc>
        <w:tc>
          <w:tcPr>
            <w:tcW w:type="dxa" w:w="2835"/>
            <w:tcBorders>
              <w:top w:val="single" w:sz="6" w:color="BFBFBF"/>
              <w:left w:val="single" w:sz="6" w:color="BFBFBF"/>
              <w:bottom w:val="single" w:sz="6" w:color="BFBFBF"/>
              <w:right w:val="single" w:sz="6" w:color="BFBFBF"/>
            </w:tcBorders>
          </w:tcPr>
          <w:p>
            <w:r/>
            <w:r>
              <w:rPr>
                <w:rFonts w:ascii="Arial" w:hAnsi="Arial"/>
                <w:sz w:val="20"/>
              </w:rPr>
              <w:t>Embedded super users + SI L3 for 8 weeks</w:t>
            </w:r>
          </w:p>
        </w:tc>
        <w:tc>
          <w:tcPr>
            <w:tcW w:type="dxa" w:w="3118"/>
            <w:tcBorders>
              <w:top w:val="single" w:sz="6" w:color="BFBFBF"/>
              <w:left w:val="single" w:sz="6" w:color="BFBFBF"/>
              <w:bottom w:val="single" w:sz="6" w:color="BFBFBF"/>
              <w:right w:val="single" w:sz="6" w:color="BFBFBF"/>
            </w:tcBorders>
          </w:tcPr>
          <w:p>
            <w:r/>
            <w:r>
              <w:rPr>
                <w:rFonts w:ascii="Arial" w:hAnsi="Arial"/>
                <w:sz w:val="20"/>
              </w:rPr>
              <w:t>Builds internal capability; defined SI exit</w:t>
            </w:r>
          </w:p>
        </w:tc>
      </w:tr>
    </w:tbl>
    <w:p/>
    <w:p>
      <w:pPr>
        <w:pStyle w:val="Heading1"/>
      </w:pPr>
      <w:r>
        <w:t>10. Constraints &amp; assumptions</w:t>
      </w:r>
    </w:p>
    <w:p>
      <w:r>
        <w:rPr>
          <w:rFonts w:ascii="Arial" w:hAnsi="Arial"/>
          <w:b w:val="0"/>
          <w:i w:val="0"/>
          <w:sz w:val="22"/>
        </w:rPr>
        <w:t>Captured in the Programme Charter. Key constraints reaffirmed here:</w:t>
      </w:r>
    </w:p>
    <w:p>
      <w:pPr>
        <w:pStyle w:val="ListBullet"/>
      </w:pPr>
      <w:r>
        <w:rPr>
          <w:rFonts w:ascii="Arial" w:hAnsi="Arial"/>
          <w:sz w:val="22"/>
        </w:rPr>
        <w:t>Phase 1 includes UK + ROI + Germany only; other markets are Phase 2</w:t>
      </w:r>
    </w:p>
    <w:p>
      <w:pPr>
        <w:pStyle w:val="ListBullet"/>
      </w:pPr>
      <w:r>
        <w:rPr>
          <w:rFonts w:ascii="Arial" w:hAnsi="Arial"/>
          <w:sz w:val="22"/>
        </w:rPr>
        <w:t>HR remains in existing system for the duration of Phase 1</w:t>
      </w:r>
    </w:p>
    <w:p>
      <w:pPr>
        <w:pStyle w:val="ListBullet"/>
      </w:pPr>
      <w:r>
        <w:rPr>
          <w:rFonts w:ascii="Arial" w:hAnsi="Arial"/>
          <w:sz w:val="22"/>
        </w:rPr>
        <w:t>Manufacturing execution is out of scope (Phase 2)</w:t>
      </w:r>
    </w:p>
    <w:p>
      <w:pPr>
        <w:pStyle w:val="ListBullet"/>
      </w:pPr>
      <w:r>
        <w:rPr>
          <w:rFonts w:ascii="Arial" w:hAnsi="Arial"/>
          <w:sz w:val="22"/>
        </w:rPr>
        <w:t>Cutover window is a single weekend — no phased migration</w:t>
      </w:r>
    </w:p>
    <w:p>
      <w:pPr>
        <w:pStyle w:val="Heading1"/>
      </w:pPr>
      <w:r>
        <w:t>11. Sign-off</w:t>
      </w:r>
    </w:p>
    <w:tbl>
      <w:tblPr>
        <w:tblW w:type="auto" w:w="0"/>
        <w:tblLayout w:type="fixed"/>
        <w:tblLook w:firstColumn="1" w:firstRow="1" w:lastColumn="0" w:lastRow="0" w:noHBand="0" w:noVBand="1" w:val="04A0"/>
      </w:tblPr>
      <w:tblGrid>
        <w:gridCol w:w="2160"/>
        <w:gridCol w:w="2160"/>
        <w:gridCol w:w="2160"/>
        <w:gridCol w:w="2160"/>
      </w:tblGrid>
      <w:tr>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Role</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Name</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Date</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Signature</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Solution Architect (Client)</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Solution Architect (SI)</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Business Architect</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Programme Manager</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Design Authority Chair</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Executive Sponsor (final)</w:t>
            </w:r>
          </w:p>
        </w:tc>
        <w:tc>
          <w:tcPr>
            <w:tcW w:type="dxa" w:w="2835"/>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c>
          <w:tcPr>
            <w:tcW w:type="dxa" w:w="1701"/>
            <w:tcBorders>
              <w:top w:val="single" w:sz="6" w:color="BFBFBF"/>
              <w:left w:val="single" w:sz="6" w:color="BFBFBF"/>
              <w:bottom w:val="single" w:sz="6" w:color="BFBFBF"/>
              <w:right w:val="single" w:sz="6" w:color="BFBFBF"/>
            </w:tcBorders>
          </w:tcPr>
          <w:p>
            <w:r/>
            <w:r>
              <w:rPr>
                <w:rFonts w:ascii="Arial" w:hAnsi="Arial"/>
                <w:sz w:val="20"/>
              </w:rPr>
            </w:r>
          </w:p>
        </w:tc>
      </w:tr>
    </w:tbl>
    <w:p/>
    <w:sectPr w:rsidR="00FC693F" w:rsidRPr="0006063C" w:rsidSect="00034616">
      <w:headerReference w:type="default" r:id="rId9"/>
      <w:headerReference w:type="first" r:id="rId10"/>
      <w:headerReference w:type="even" r:id="rId11"/>
      <w:footerReference w:type="default" r:id="rId12"/>
      <w:footerReference w:type="first" r:id="rId13"/>
      <w:footerReference w:type="even"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rial" w:hAnsi="Arial"/>
      <w:b/>
      <w:bCs/>
      <w:color w:val="1E2761"/>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Arial" w:hAnsi="Arial"/>
      <w:b/>
      <w:bCs/>
      <w:color w:val="1E2761"/>
      <w:sz w:val="28"/>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Arial" w:hAnsi="Arial"/>
      <w:b/>
      <w:bCs/>
      <w:color w:val="1E2761"/>
      <w:sz w:val="24"/>
    </w:rPr>
  </w:style>
  <w:style w:type="paragraph" w:styleId="Heading4">
    <w:name w:val="heading 4"/>
    <w:basedOn w:val="Normal"/>
    <w:next w:val="Normal"/>
    <w:link w:val="Heading4Char"/>
    <w:uiPriority w:val="9"/>
    <w:semiHidden/>
    <w:unhideWhenUsed/>
    <w:qFormat/>
    <w:rsid w:val="00FC693F"/>
    <w:pPr>
      <w:keepNext/>
      <w:keepLines/>
      <w:spacing w:before="280" w:after="120"/>
      <w:outlineLvl w:val="3"/>
    </w:pPr>
    <w:rPr>
      <w:rFonts w:asciiTheme="majorHAnsi" w:eastAsiaTheme="majorEastAsia" w:hAnsiTheme="majorHAnsi" w:cstheme="majorBidi" w:ascii="Arial" w:hAnsi="Arial"/>
      <w:b/>
      <w:bCs/>
      <w:i/>
      <w:iCs/>
      <w:color w:val="1E276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