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1F2A44"/>
          <w:sz w:val="44"/>
          <w:szCs w:val="44"/>
        </w:rPr>
        <w:t xml:space="preserve">SOW Suite — Overview</w:t>
      </w:r>
    </w:p>
    <w:p>
      <w:pPr>
        <w:spacing w:after="480"/>
        <w:jc w:val="center"/>
      </w:pPr>
      <w:r>
        <w:rPr>
          <w:i/>
          <w:iCs/>
          <w:color w:val="606B80"/>
          <w:sz w:val="24"/>
          <w:szCs w:val="24"/>
        </w:rPr>
        <w:t xml:space="preserve">Multi-SOW pattern for ERP delivery, mapped to the canonical Method</w:t>
      </w:r>
    </w:p>
    <w:p>
      <w:pPr>
        <w:pStyle w:val="Heading2"/>
        <w:spacing w:after="140" w:before="280"/>
      </w:pPr>
      <w:r>
        <w:rPr>
          <w:b/>
          <w:bCs/>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Version</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 — Initial template</w:t>
            </w:r>
          </w:p>
        </w:tc>
      </w:tr>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Owner</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Programme Manager (Client-side)</w:t>
            </w:r>
          </w:p>
        </w:tc>
      </w:tr>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Audience</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Programme team, Legal, Procurement</w:t>
            </w:r>
          </w:p>
        </w:tc>
      </w:tr>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Companion docs</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MSA Schedule, SOW 1 (Discovery), SOW 2 (Design), SOW 3 (Build–Hypercare)</w:t>
            </w:r>
          </w:p>
        </w:tc>
      </w:tr>
      <w:tr>
        <w:tc>
          <w:tcPr>
            <w:tcW w:type="dxa" w:w="22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Method stages</w:t>
            </w:r>
          </w:p>
        </w:tc>
        <w:tc>
          <w:tcPr>
            <w:tcW w:type="dxa" w:w="68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Stages 9 through 17</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 xml:space="preserve">HOW TO USE THIS DOCUMENT</w:t>
            </w:r>
          </w:p>
          <w:p>
            <w:r>
              <w:rPr>
                <w:sz w:val="22"/>
                <w:szCs w:val="22"/>
              </w:rPr>
              <w:t xml:space="preserve">This is the orientation document for the SOW Suite. Read it first. It explains why the SOW Suite is structured as multiple documents under a single MSA, when to use the suite versus a single SOW, how the SOWs hand over to one another, and which clauses are common across all three. The individual SOW templates inherit from the patterns described here — keep this document and the template SOWs aligned when you adapt them for a specific engagement.</w:t>
            </w:r>
          </w:p>
        </w:tc>
      </w:tr>
    </w:tbl>
    <w:p>
      <w:pPr>
        <w:pStyle w:val="Heading1"/>
        <w:spacing w:after="180" w:before="360"/>
      </w:pPr>
      <w:r>
        <w:rPr>
          <w:b/>
          <w:bCs/>
          <w:sz w:val="32"/>
          <w:szCs w:val="32"/>
        </w:rPr>
        <w:t xml:space="preserve">1. Why a SOW Suite, not a single SOW</w:t>
      </w:r>
    </w:p>
    <w:p>
      <w:pPr>
        <w:spacing w:after="120" w:before="0"/>
      </w:pPr>
      <w:r>
        <w:t xml:space="preserve">Most senior System Integrators (SIs) require multiple Statements of Work across an ERP engagement, not a single end-to-end SOW. The pattern is well-established and exists for good commercial reasons on both sides:</w:t>
      </w:r>
    </w:p>
    <w:p>
      <w:pPr>
        <w:pStyle w:val="ListParagraph"/>
        <w:numPr>
          <w:ilvl w:val="0"/>
          <w:numId w:val="2"/>
        </w:numPr>
        <w:spacing w:after="80"/>
      </w:pPr>
      <w:r>
        <w:rPr>
          <w:sz w:val="22"/>
          <w:szCs w:val="22"/>
        </w:rPr>
        <w:t xml:space="preserve">On the SI side — they cannot honestly commit to firm pricing for Build, Test and Cutover before Discovery and Design have completed. Anyone who does has either padded heavily, or is going to spring change requests later.</w:t>
      </w:r>
    </w:p>
    <w:p>
      <w:pPr>
        <w:pStyle w:val="ListParagraph"/>
        <w:numPr>
          <w:ilvl w:val="0"/>
          <w:numId w:val="2"/>
        </w:numPr>
        <w:spacing w:after="80"/>
      </w:pPr>
      <w:r>
        <w:rPr>
          <w:sz w:val="22"/>
          <w:szCs w:val="22"/>
        </w:rPr>
        <w:t xml:space="preserve">On the Client side — committing the full programme budget before Discovery has surfaced the real fit-gap and the design has been signed transfers risk to the Client. The Client wants natural off-ramps between the major commitments.</w:t>
      </w:r>
    </w:p>
    <w:p>
      <w:pPr>
        <w:pStyle w:val="ListParagraph"/>
        <w:numPr>
          <w:ilvl w:val="0"/>
          <w:numId w:val="2"/>
        </w:numPr>
        <w:spacing w:after="80"/>
      </w:pPr>
      <w:r>
        <w:rPr>
          <w:sz w:val="22"/>
          <w:szCs w:val="22"/>
        </w:rPr>
        <w:t xml:space="preserve">On both sides — splitting the engagement into discrete contractual phases gives each party clean pricing, clean scope and clean exit points if the engagement is not working.</w:t>
      </w:r>
    </w:p>
    <w:p>
      <w:pPr>
        <w:spacing w:after="120" w:before="0"/>
      </w:pPr>
      <w:r>
        <w:t>In practice, the SI Selection (SI Selection with ROM Pricing (S9) in the canonical Method) typically lands with Heads of Terms and a ROM. The first SOW is then signed for Discovery only. The second is signed during Discovery to allow Design to start without a contractual gap. The third is signed at Solution Design &amp; Full Business Case (S12) — the second board gate — when firm pricing has been established and the Full Business Case is approved.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 xml:space="preserve">WHEN A SINGLE-SOW PATTERN IS ACCEPTABLE</w:t>
            </w:r>
          </w:p>
          <w:p>
            <w:r>
              <w:rPr>
                <w:sz w:val="22"/>
                <w:szCs w:val="22"/>
              </w:rPr>
              <w:t xml:space="preserve">Smaller engagements with one workstream, a single legal entity and a narrow scope can run on a single SOW provided: (a) the SOW carries explicit re-pricing checkpoints at the canonical stage gates rather than committing to firm pricing up front, (b) there is a strong existing relationship between Client and SI with prior delivery evidence, and (c) the Client and SI have explicitly agreed and documented the firm-pricing risk position. A single SOW with no checkpoints and ROM-style pricing for the entire engagement is the most common cause of late-stage commercial dispute and should be avoided.</w:t>
            </w:r>
          </w:p>
        </w:tc>
      </w:tr>
    </w:tbl>
    <w:p>
      <w:pPr>
        <w:pStyle w:val="Heading1"/>
        <w:spacing w:after="180" w:before="360"/>
      </w:pPr>
      <w:r>
        <w:rPr>
          <w:b/>
          <w:bCs/>
          <w:sz w:val="32"/>
          <w:szCs w:val="32"/>
        </w:rPr>
        <w:t xml:space="preserve">2. Mapping to canonical Method stages</w:t>
      </w:r>
    </w:p>
    <w:p>
      <w:pPr>
        <w:spacing w:after="120" w:before="0"/>
      </w:pPr>
      <w:r>
        <w:t xml:space="preserve">Each SOW in the suite covers a defined stage range from the canonical Method. The SI signs each SOW before the work in that stage begins.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900"/>
        <w:gridCol w:w="1700"/>
        <w:gridCol w:w="1700"/>
        <w:gridCol w:w="1726"/>
      </w:tblGrid>
      <w:tr>
        <w:trPr>
          <w:tblHeader/>
        </w:trPr>
        <w:tc>
          <w:tcPr>
            <w:tcW w:type="dxa" w:w="2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sz w:val="20"/>
                <w:szCs w:val="20"/>
              </w:rPr>
              <w:t xml:space="preserve">SOW</w:t>
            </w:r>
          </w:p>
        </w:tc>
        <w:tc>
          <w:tcPr>
            <w:tcW w:type="dxa" w:w="19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sz w:val="20"/>
                <w:szCs w:val="20"/>
              </w:rPr>
              <w:t xml:space="preserve">Method scope</w:t>
            </w:r>
          </w:p>
        </w:tc>
        <w:tc>
          <w:tcPr>
            <w:tcW w:type="dxa" w:w="17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sz w:val="20"/>
                <w:szCs w:val="20"/>
              </w:rPr>
              <w:t xml:space="preserve">Signed at</w:t>
            </w:r>
          </w:p>
        </w:tc>
        <w:tc>
          <w:tcPr>
            <w:tcW w:type="dxa" w:w="17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sz w:val="20"/>
                <w:szCs w:val="20"/>
              </w:rPr>
              <w:t xml:space="preserve">Pricing model</w:t>
            </w:r>
          </w:p>
        </w:tc>
        <w:tc>
          <w:tcPr>
            <w:tcW w:type="dxa" w:w="17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sz w:val="20"/>
                <w:szCs w:val="20"/>
              </w:rPr>
              <w:t xml:space="preserve">Off-ramp at end</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SOW 1 — Discovery</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Stage 11 (Discovery)</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End of S9</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T&amp;M with effort cap, deliverable-based payment</w:t>
            </w:r>
          </w:p>
        </w:tc>
        <w:tc>
          <w:tcPr>
            <w:tcW w:type="dxa" w:w="17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 may decide not to proceed to SOW 2 if Discovery surfaces fundamental scope issues</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SOW 2 — Design + Full Business Case</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Stage 12 (Solution Design &amp; FBC)</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During Stage 11 (so S12 can start without contractual gap)</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T&amp;M with effort cap; output is firm pricing for SOW 3 at ±10–15%</w:t>
            </w:r>
          </w:p>
        </w:tc>
        <w:tc>
          <w:tcPr>
            <w:tcW w:type="dxa" w:w="17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 does not sign SOW 3 if firm pricing breaks the Funding Envelope or the FBC fails</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SOW 3 — Build, Test, Deploy, Hypercare</w:t>
            </w:r>
          </w:p>
        </w:tc>
        <w:tc>
          <w:tcPr>
            <w:tcW w:type="dxa" w:w="19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Stages 13–17 (Build, Test, Cutover, Go-Live, Hypercare)</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End of Stage 12 (Gate 2 — board commit-to-build)</w:t>
            </w:r>
          </w:p>
        </w:tc>
        <w:tc>
          <w:tcPr>
            <w:tcW w:type="dxa" w:w="17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Firm/capped at ±10–15%, locked at signature, varied via Change Control only</w:t>
            </w:r>
          </w:p>
        </w:tc>
        <w:tc>
          <w:tcPr>
            <w:tcW w:type="dxa" w:w="17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BAU transition at end of Hypercare; S18 onward typically a separate engagement</w:t>
            </w:r>
          </w:p>
        </w:tc>
      </w:tr>
    </w:tbl>
    <w:p>
      <w:pPr>
        <w:pStyle w:val="Heading2"/>
        <w:spacing w:after="140" w:before="280"/>
      </w:pPr>
      <w:r>
        <w:rPr>
          <w:b/>
          <w:bCs/>
          <w:sz w:val="26"/>
          <w:szCs w:val="26"/>
        </w:rPr>
        <w:t xml:space="preserve">Why each SOW is signed before the stage starts</w:t>
      </w:r>
    </w:p>
    <w:p>
      <w:pPr>
        <w:spacing w:after="120" w:before="0"/>
      </w:pPr>
      <w:r>
        <w:t>Signing each SOW before the stage starts means there is never a contractual gap mid-engagement. This matters for two practical reasons. First, SI personnel cannot be deployed without a contract; if SOW 2 is not signed before S12 begins, the Discovery team lands in a vacuum and momentum is lost. Second, the act of negotiating each SOW forces both parties to confront what has actually been learned in the preceding stage, and to formalise the implications commercially. Without the SOW handovers, the Client and SI drift through stage transitions on assumption rather than agreement.</w:t>
      </w:r>
    </w:p>
    <w:p>
      <w:pPr>
        <w:pStyle w:val="Heading1"/>
        <w:spacing w:after="180" w:before="360"/>
      </w:pPr>
      <w:r>
        <w:rPr>
          <w:b/>
          <w:bCs/>
          <w:sz w:val="32"/>
          <w:szCs w:val="32"/>
        </w:rPr>
        <w:t xml:space="preserve">3. Inheritance from the MSA</w:t>
      </w:r>
    </w:p>
    <w:p>
      <w:pPr>
        <w:spacing w:after="120" w:before="0"/>
      </w:pPr>
      <w:r>
        <w:t xml:space="preserve">All three SOWs sit under one Master Services Agreement (MSA) — the parent legal framework signed once between Client and SI at company level. The MSA carries the standing terms that govern the entire relationship: rate cards, payment terms, intellectual property, liability, indemnity, personal data, confidentiality, termination mechanics, dispute resolution, jurisdiction, insurance, sub-contracting and audit rights.</w:t>
      </w:r>
    </w:p>
    <w:p>
      <w:pPr>
        <w:spacing w:after="120" w:before="0"/>
      </w:pPr>
      <w:r>
        <w:t xml:space="preserve">Each SOW inherits these terms and only carries the engagement-specific content: scope, deliverables, milestones, RACI, change control, acceptance criteria, exit criteria and SOW-specific risks and assumptions. Each SOW opens with a standard MSA-reference clause: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 xml:space="preserve">STANDARD MSA REFERENCE CLAUSE FOR EVERY SOW</w:t>
            </w:r>
          </w:p>
          <w:p>
            <w:r>
              <w:rPr>
                <w:sz w:val="22"/>
                <w:szCs w:val="22"/>
              </w:rPr>
              <w:t xml:space="preserve">This Statement of Work is executed under and governed by the Master Services Agreement (MSA) dated [DATE] between [CLIENT NAME] ("Client") and [SI NAME] ("Supplier"). All capitalised terms used and not defined in this SOW have the meanings given in the MSA. In the event of conflict between this SOW and the MSA, the MSA prevails except where this SOW expressly varies its terms in respect of this engagement only.</w:t>
            </w:r>
          </w:p>
        </w:tc>
      </w:tr>
    </w:tbl>
    <w:p>
      <w:pPr>
        <w:spacing w:after="120" w:before="0"/>
      </w:pPr>
      <w:r>
        <w:t xml:space="preserve">If no MSA exists at the point an SI is selected, the programme team must work with Legal and Procurement to put one in place before any SOW is signed. The companion document MSA Schedule (commercial framework reference) provides a checklist of the clauses an MSA should cover for the SOW Suite to inherit cleanly.</w:t>
      </w:r>
    </w:p>
    <w:p>
      <w:r>
        <w:br w:type="page"/>
      </w:r>
    </w:p>
    <w:p>
      <w:pPr>
        <w:pStyle w:val="Heading1"/>
        <w:spacing w:after="180" w:before="360"/>
      </w:pPr>
      <w:r>
        <w:rPr>
          <w:b/>
          <w:bCs/>
          <w:sz w:val="32"/>
          <w:szCs w:val="32"/>
        </w:rPr>
        <w:t xml:space="preserve">4. Clauses common to all three SOWs</w:t>
      </w:r>
    </w:p>
    <w:p>
      <w:pPr>
        <w:spacing w:after="120" w:before="0"/>
      </w:pPr>
      <w:r>
        <w:t xml:space="preserve">The following clauses appear in identical or near-identical form across SOW 1, SOW 2 and SOW 3. They are reproduced here in full so the templates can reference back to this document rather than repeating verbatim text.</w:t>
      </w:r>
    </w:p>
    <w:p>
      <w:pPr>
        <w:pStyle w:val="Heading2"/>
        <w:spacing w:after="140" w:before="280"/>
      </w:pPr>
      <w:r>
        <w:rPr>
          <w:b/>
          <w:bCs/>
          <w:sz w:val="26"/>
          <w:szCs w:val="26"/>
        </w:rPr>
        <w:t xml:space="preserve">4.1 ROM-to-firm conversion</w:t>
      </w:r>
    </w:p>
    <w:p>
      <w:pPr>
        <w:spacing w:after="120" w:before="0"/>
      </w:pPr>
      <w:r>
        <w:t xml:space="preserve">SOW 2 obliges the Supplier to deliver firm pricing for SOW 3 at a defined accuracy by a defined date: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 xml:space="preserve">STANDARD ROM-TO-FIRM CLAUSE</w:t>
            </w:r>
          </w:p>
          <w:p>
            <w:r>
              <w:rPr>
                <w:sz w:val="22"/>
                <w:szCs w:val="22"/>
              </w:rPr>
              <w:t>By the end of S12, and as a deliverable of this SOW, the Supplier shall provide firm or capped pricing for the work to be covered by SOW 3 (Build, Test, Deploy, Hypercare) at ±10–15% accuracy, calculated against the agreed Solution Design Document. If the Supplier cannot deliver firm pricing within the agreed band, the Client retains the right to: (a) extend S12 at the unit rates set out in the MSA without committing to SOW 3, or (b) terminate the engagement at the end of S12 with payment limited to work performed under SOWs 1 and 2.</w:t>
            </w:r>
          </w:p>
        </w:tc>
      </w:tr>
    </w:tbl>
    <w:p>
      <w:pPr>
        <w:pStyle w:val="Heading2"/>
        <w:spacing w:after="140" w:before="280"/>
      </w:pPr>
      <w:r>
        <w:rPr>
          <w:b/>
          <w:bCs/>
          <w:sz w:val="26"/>
          <w:szCs w:val="26"/>
        </w:rPr>
        <w:t xml:space="preserve">4.2 Named personnel and minimum commitment periods</w:t>
      </w:r>
    </w:p>
    <w:p>
      <w:pPr>
        <w:spacing w:after="120" w:before="0"/>
      </w:pPr>
      <w:r>
        <w:t xml:space="preserve">To prevent the SI swapping out senior personnel after contract signature (a common pattern that erodes engagement quality), the SOWs name key personnel and bind them to minimum commitment periods: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 xml:space="preserve">STANDARD NAMED PERSONNEL CLAUSE</w:t>
            </w:r>
          </w:p>
          <w:p>
            <w:r>
              <w:rPr>
                <w:sz w:val="22"/>
                <w:szCs w:val="22"/>
              </w:rPr>
              <w:t xml:space="preserve">The Supplier personnel listed in Schedule [Personnel] shall be assigned to the Engagement for the durations stated. The Supplier may not substitute named personnel without the prior written consent of the Client, such consent not to be unreasonably withheld. Where substitution is approved, the Supplier shall demonstrate that the proposed substitute possesses equivalent or greater experience, and the Client shall have the right to interview and reject substitutes during a five-business-day window. Substitution made without consent is a Material Breach.</w:t>
            </w:r>
          </w:p>
        </w:tc>
      </w:tr>
    </w:tbl>
    <w:p>
      <w:pPr>
        <w:pStyle w:val="Heading2"/>
        <w:spacing w:after="140" w:before="280"/>
      </w:pPr>
      <w:r>
        <w:rPr>
          <w:b/>
          <w:bCs/>
          <w:sz w:val="26"/>
          <w:szCs w:val="26"/>
        </w:rPr>
        <w:t xml:space="preserve">4.3 Intellectual property and design ownership</w:t>
      </w:r>
    </w:p>
    <w:p>
      <w:pPr>
        <w:spacing w:after="120" w:before="0"/>
      </w:pPr>
      <w:r>
        <w:t xml:space="preserve">Client ownership of the design output regardless of which SOW funded 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 xml:space="preserve">STANDARD IP CLAUSE</w:t>
            </w:r>
          </w:p>
          <w:p>
            <w:r>
              <w:rPr>
                <w:sz w:val="22"/>
                <w:szCs w:val="22"/>
              </w:rPr>
              <w:t xml:space="preserve">All Foreground IP created in performance of any SOW under this MSA — including without limitation the Solution Design Document, configuration, custom code, integration design, data migration design and any documentation produced — shall vest in the Client on creation. The Supplier shall not reuse Client-paid Foreground IP in any other engagement without the Client's prior written consent. The Supplier retains rights to its Background IP, but grants the Client a perpetual, royalty-free licence to use the Background IP solely as embedded in the Foreground IP delivered under this Engagement.</w:t>
            </w:r>
          </w:p>
        </w:tc>
      </w:tr>
    </w:tbl>
    <w:p>
      <w:pPr>
        <w:pStyle w:val="Heading2"/>
        <w:spacing w:after="140" w:before="280"/>
      </w:pPr>
      <w:r>
        <w:rPr>
          <w:b/>
          <w:bCs/>
          <w:sz w:val="26"/>
          <w:szCs w:val="26"/>
        </w:rPr>
        <w:t xml:space="preserve">4.4 Change control</w:t>
      </w:r>
    </w:p>
    <w:p>
      <w:pPr>
        <w:spacing w:after="120" w:before="0"/>
      </w:pPr>
      <w:r>
        <w:t xml:space="preserve">Identical Change Control mechanism across all three SOWs so the Client and Supplier do not relearn the process at each contract handover:</w:t>
      </w:r>
    </w:p>
    <w:p>
      <w:pPr>
        <w:pStyle w:val="ListParagraph"/>
        <w:numPr>
          <w:ilvl w:val="0"/>
          <w:numId w:val="2"/>
        </w:numPr>
        <w:spacing w:after="80"/>
      </w:pPr>
      <w:r>
        <w:rPr>
          <w:sz w:val="22"/>
          <w:szCs w:val="22"/>
        </w:rPr>
        <w:t xml:space="preserve">Triage SLA — Change Requests acknowledged within 2 business days of submission</w:t>
      </w:r>
    </w:p>
    <w:p>
      <w:pPr>
        <w:pStyle w:val="ListParagraph"/>
        <w:numPr>
          <w:ilvl w:val="0"/>
          <w:numId w:val="2"/>
        </w:numPr>
        <w:spacing w:after="80"/>
      </w:pPr>
      <w:r>
        <w:rPr>
          <w:sz w:val="22"/>
          <w:szCs w:val="22"/>
        </w:rPr>
        <w:t xml:space="preserve">Impact assessment — provided within 5 business days for changes under a defined size threshold, 10 business days for larger changes</w:t>
      </w:r>
    </w:p>
    <w:p>
      <w:pPr>
        <w:pStyle w:val="ListParagraph"/>
        <w:numPr>
          <w:ilvl w:val="0"/>
          <w:numId w:val="2"/>
        </w:numPr>
        <w:spacing w:after="80"/>
      </w:pPr>
      <w:r>
        <w:rPr>
          <w:sz w:val="22"/>
          <w:szCs w:val="22"/>
        </w:rPr>
        <w:t xml:space="preserve">Approval — Change Authority Board sits weekly; standing membership Client Programme Manager, Supplier Engagement Manager, Client Finance lead. Client retains final approval authority on changes affecting cost, scope or timeline</w:t>
      </w:r>
    </w:p>
    <w:p>
      <w:pPr>
        <w:pStyle w:val="ListParagraph"/>
        <w:numPr>
          <w:ilvl w:val="0"/>
          <w:numId w:val="2"/>
        </w:numPr>
        <w:spacing w:after="80"/>
      </w:pPr>
      <w:r>
        <w:rPr>
          <w:sz w:val="22"/>
          <w:szCs w:val="22"/>
        </w:rPr>
        <w:t xml:space="preserve">No work on a Change Request commences until written approval is received from the Client; Supplier work performed in advance of approval is not chargeable</w:t>
      </w:r>
    </w:p>
    <w:p>
      <w:pPr>
        <w:pStyle w:val="ListParagraph"/>
        <w:numPr>
          <w:ilvl w:val="0"/>
          <w:numId w:val="2"/>
        </w:numPr>
        <w:spacing w:after="80"/>
      </w:pPr>
      <w:r>
        <w:rPr>
          <w:sz w:val="22"/>
          <w:szCs w:val="22"/>
        </w:rPr>
        <w:t xml:space="preserve">Escalation — disputes on Change Requests escalate to the Steering Committee, then to the Executive Sponsor Group; if unresolved, to the dispute resolution mechanism in the MSA</w:t>
      </w:r>
    </w:p>
    <w:p>
      <w:pPr>
        <w:pStyle w:val="Heading2"/>
        <w:spacing w:after="140" w:before="280"/>
      </w:pPr>
      <w:r>
        <w:rPr>
          <w:b/>
          <w:bCs/>
          <w:sz w:val="26"/>
          <w:szCs w:val="26"/>
        </w:rPr>
        <w:t xml:space="preserve">4.5 Acceptance criteria and remedies</w:t>
      </w:r>
    </w:p>
    <w:p>
      <w:pPr>
        <w:spacing w:after="120" w:before="0"/>
      </w:pPr>
      <w:r>
        <w:t xml:space="preserve">Each deliverable in each SOW carries binary acceptance criteria. The Client signs off acceptance only when criteria are evidenced. Where criteria are not met, the Supplier remediates at their own cost. Repeated failure to meet criteria after a defined remediation window is treated as a Material Breach under the MSA.</w:t>
      </w:r>
    </w:p>
    <w:p>
      <w:pPr>
        <w:pStyle w:val="Heading2"/>
        <w:spacing w:after="140" w:before="280"/>
      </w:pPr>
      <w:r>
        <w:rPr>
          <w:b/>
          <w:bCs/>
          <w:sz w:val="26"/>
          <w:szCs w:val="26"/>
        </w:rPr>
        <w:t xml:space="preserve">4.6 Termination mechanics</w:t>
      </w:r>
    </w:p>
    <w:p>
      <w:pPr>
        <w:spacing w:after="120" w:before="0"/>
      </w:pPr>
      <w:r>
        <w:t xml:space="preserve">Each SOW may be terminated independently of the others. Termination of an earlier SOW does not automatically terminate later SOWs that have already been signed; termination of a later SOW does not retrospectively affect SOWs whose work has been delivered and accepted. Specifically:</w:t>
      </w:r>
    </w:p>
    <w:p>
      <w:pPr>
        <w:pStyle w:val="ListParagraph"/>
        <w:numPr>
          <w:ilvl w:val="0"/>
          <w:numId w:val="2"/>
        </w:numPr>
        <w:spacing w:after="80"/>
      </w:pPr>
      <w:r>
        <w:rPr>
          <w:sz w:val="22"/>
          <w:szCs w:val="22"/>
        </w:rPr>
        <w:t xml:space="preserve">Termination for cause — either party may terminate any SOW for Material Breach following the cure period defined in the MSA</w:t>
      </w:r>
    </w:p>
    <w:p>
      <w:pPr>
        <w:pStyle w:val="ListParagraph"/>
        <w:numPr>
          <w:ilvl w:val="0"/>
          <w:numId w:val="2"/>
        </w:numPr>
        <w:spacing w:after="80"/>
      </w:pPr>
      <w:r>
        <w:rPr>
          <w:sz w:val="22"/>
          <w:szCs w:val="22"/>
        </w:rPr>
        <w:t xml:space="preserve">Termination for convenience — Client may terminate any SOW with 30 calendar days' written notice; Supplier is paid for work delivered and accepted to the date of termination, plus reasonable wind-down costs as agreed in writing</w:t>
      </w:r>
    </w:p>
    <w:p>
      <w:pPr>
        <w:pStyle w:val="ListParagraph"/>
        <w:numPr>
          <w:ilvl w:val="0"/>
          <w:numId w:val="2"/>
        </w:numPr>
        <w:spacing w:after="80"/>
      </w:pPr>
      <w:r>
        <w:rPr>
          <w:sz w:val="22"/>
          <w:szCs w:val="22"/>
        </w:rPr>
        <w:t xml:space="preserve">Termination consequences — on termination of any SOW, Supplier hands over all Foreground IP, in-progress work products, knowledge transfer materials and any Client data in Supplier custody, within 10 business days at no additional charge</w:t>
      </w:r>
    </w:p>
    <w:p>
      <w:r>
        <w:br w:type="page"/>
      </w:r>
    </w:p>
    <w:p>
      <w:pPr>
        <w:pStyle w:val="Heading1"/>
        <w:spacing w:after="180" w:before="360"/>
      </w:pPr>
      <w:r>
        <w:rPr>
          <w:b/>
          <w:bCs/>
          <w:sz w:val="32"/>
          <w:szCs w:val="32"/>
        </w:rPr>
        <w:t xml:space="preserve">5. Sign-off ownership</w:t>
      </w:r>
    </w:p>
    <w:p>
      <w:pPr>
        <w:spacing w:after="120" w:before="0"/>
      </w:pPr>
      <w:r>
        <w:t xml:space="preserve">The SOW Suite is a legally binding set of documents. Final sign-off rests with the Client's Legal and Procurement functions, not the programme team. The programme team contributes scope, deliverables, RACI and milestone definitions; they do not negotiate commercial or liability terms.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26"/>
      </w:tblGrid>
      <w:tr>
        <w:trPr>
          <w:tblHeader/>
        </w:trPr>
        <w:tc>
          <w:tcPr>
            <w:tcW w:type="dxa" w:w="3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sz w:val="20"/>
                <w:szCs w:val="20"/>
              </w:rPr>
              <w:t xml:space="preserve">Activity</w:t>
            </w:r>
          </w:p>
        </w:tc>
        <w:tc>
          <w:tcPr>
            <w:tcW w:type="dxa" w:w="3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sz w:val="20"/>
                <w:szCs w:val="20"/>
              </w:rPr>
              <w:t xml:space="preserve">Programme team owns</w:t>
            </w:r>
          </w:p>
        </w:tc>
        <w:tc>
          <w:tcPr>
            <w:tcW w:type="dxa" w:w="30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sz w:val="20"/>
                <w:szCs w:val="20"/>
              </w:rPr>
              <w:t xml:space="preserve">Legal / Procurement owns</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Scope, in-scope / out-of-scope content</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Yes (drafts and signs off content)</w:t>
            </w:r>
          </w:p>
        </w:tc>
        <w:tc>
          <w:tcPr>
            <w:tcW w:type="dxa" w:w="30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Reviews for legal accuracy</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Deliverables list and acceptance criteria</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Yes (drafts and signs off content)</w:t>
            </w:r>
          </w:p>
        </w:tc>
        <w:tc>
          <w:tcPr>
            <w:tcW w:type="dxa" w:w="30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Reviews</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Pricing model and amounts</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Provides budget envelope</w:t>
            </w:r>
          </w:p>
        </w:tc>
        <w:tc>
          <w:tcPr>
            <w:tcW w:type="dxa" w:w="30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Yes (negotiates and signs off)</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Liability, indemnity, IP, termination, jurisdiction</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Reviewer only — flags concerns</w:t>
            </w:r>
          </w:p>
        </w:tc>
        <w:tc>
          <w:tcPr>
            <w:tcW w:type="dxa" w:w="30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Yes (negotiates and signs off)</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Change Control mechanism</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Yes (operates the mechanism)</w:t>
            </w:r>
          </w:p>
        </w:tc>
        <w:tc>
          <w:tcPr>
            <w:tcW w:type="dxa" w:w="30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Reviews and signs off the framework</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Final SOW signature</w:t>
            </w:r>
          </w:p>
        </w:tc>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Sponsor signs (programme commit)</w:t>
            </w:r>
          </w:p>
        </w:tc>
        <w:tc>
          <w:tcPr>
            <w:tcW w:type="dxa" w:w="30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Procurement counter-signs (commercial commit)</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COMMON MISTAKE TO CORRECT ON SIGHT</w:t>
            </w:r>
          </w:p>
          <w:p>
            <w:r>
              <w:rPr>
                <w:sz w:val="22"/>
                <w:szCs w:val="22"/>
              </w:rPr>
              <w:t xml:space="preserve">The Supplier presenting commercial concessions or scope changes directly to the Programme Manager and bypassing Legal and Procurement. Programme Managers under delivery pressure can be tempted to accept these to keep the engagement moving. The result is contract drift, where the operating reality of the engagement has diverged from the signed SOW and Legal cannot enforce when needed. Hold the line: any change with commercial or contractual implication routes through the Change Control process and signs off through Legal and Procurement.</w:t>
            </w:r>
          </w:p>
        </w:tc>
      </w:tr>
    </w:tbl>
    <w:p>
      <w:pPr>
        <w:pStyle w:val="Heading1"/>
        <w:spacing w:after="180" w:before="360"/>
      </w:pPr>
      <w:r>
        <w:rPr>
          <w:b/>
          <w:bCs/>
          <w:sz w:val="32"/>
          <w:szCs w:val="32"/>
        </w:rPr>
        <w:t xml:space="preserve">6. Conversion mechanics between SOWs</w:t>
      </w:r>
    </w:p>
    <w:p>
      <w:pPr>
        <w:spacing w:after="120" w:before="0"/>
      </w:pPr>
      <w:r>
        <w:t xml:space="preserve">Each SOW transitions to the next at a defined milestone. The transitions are protocol-driven, not informal:</w:t>
      </w:r>
    </w:p>
    <w:p>
      <w:pPr>
        <w:pStyle w:val="Heading3"/>
        <w:spacing w:after="100" w:before="200"/>
      </w:pPr>
      <w:r>
        <w:rPr>
          <w:b/>
          <w:bCs/>
          <w:sz w:val="22"/>
          <w:szCs w:val="22"/>
        </w:rPr>
        <w:t xml:space="preserve">SOW 1 → SOW 2 transition</w:t>
      </w:r>
    </w:p>
    <w:p>
      <w:pPr>
        <w:spacing w:after="120" w:before="0"/>
      </w:pPr>
      <w:r>
        <w:t>Triggered by Discovery Sign-Off at end of Discovery (S11). SOW 1 closes on Client acceptance of the Discovery output document. SOW 2 must be signed before S12 starts; the Supplier may not begin Design work under SOW 1 effort. The Client retains the right not to sign SOW 2 if Discovery surfaces fundamental scope or feasibility issues; in that case SOW 1 closes and the engagement may be re-tendered or terminated.</w:t>
      </w:r>
    </w:p>
    <w:p>
      <w:pPr>
        <w:pStyle w:val="Heading3"/>
        <w:spacing w:after="100" w:before="200"/>
      </w:pPr>
      <w:r>
        <w:rPr>
          <w:b/>
          <w:bCs/>
          <w:sz w:val="22"/>
          <w:szCs w:val="22"/>
        </w:rPr>
        <w:t xml:space="preserve">SOW 2 → SOW 3 transition</w:t>
      </w:r>
    </w:p>
    <w:p>
      <w:pPr>
        <w:spacing w:after="120" w:before="0"/>
      </w:pPr>
      <w:r>
        <w:t>Triggered by Design Sign-Off and Gate 2 board approval at end of S12. SOW 2 closes on Client acceptance of the signed Solution Design Document and firm pricing for SOW 3. SOW 3 is signed only after the Full Business Case is approved at Gate 2. The Client retains the right not to sign SOW 3 if firm pricing exceeds the Funding Envelope or if the FBC fails board approval; in that case SOW 2 closes and the engagement may be re-tendered, deferred or terminated.</w:t>
      </w:r>
    </w:p>
    <w:p>
      <w:pPr>
        <w:pStyle w:val="Heading3"/>
        <w:spacing w:after="100" w:before="200"/>
      </w:pPr>
      <w:r>
        <w:rPr>
          <w:b/>
          <w:bCs/>
          <w:sz w:val="22"/>
          <w:szCs w:val="22"/>
        </w:rPr>
        <w:t xml:space="preserve">SOW 3 closure</w:t>
      </w:r>
    </w:p>
    <w:p>
      <w:pPr>
        <w:spacing w:after="120" w:before="0"/>
      </w:pPr>
      <w:r>
        <w:t>Triggered by Hypercare Exit at end of Hypercare &amp; Stabilisation (S17). SOW 3 closes on Client acceptance that hypercare exit criteria have been met and BAU transition is complete. Benefits Realisation &amp; Review (S18) onward (Benefits Realisation, Optimisation) is typically covered by a separate engagement — Managed Services contract, in-house BAU team, or follow-on consultancy SOW under the same MSA.</w:t>
      </w:r>
    </w:p>
    <w:p>
      <w:pPr>
        <w:pStyle w:val="Heading1"/>
        <w:spacing w:after="180" w:before="360"/>
      </w:pPr>
      <w:r>
        <w:rPr>
          <w:b/>
          <w:bCs/>
          <w:sz w:val="32"/>
          <w:szCs w:val="32"/>
        </w:rPr>
        <w:t xml:space="preserve">7. Companion documents</w:t>
      </w:r>
    </w:p>
    <w:p>
      <w:pPr>
        <w:spacing w:after="120" w:before="0"/>
      </w:pPr>
      <w:r>
        <w:t xml:space="preserve">This Suite Overview is the orientation document. It is supported by the following templates in the same Supporting Documentation folder:</w:t>
      </w:r>
    </w:p>
    <w:p>
      <w:pPr>
        <w:pStyle w:val="ListParagraph"/>
        <w:numPr>
          <w:ilvl w:val="0"/>
          <w:numId w:val="2"/>
        </w:numPr>
        <w:spacing w:after="80"/>
      </w:pPr>
      <w:r>
        <w:rPr>
          <w:sz w:val="22"/>
          <w:szCs w:val="22"/>
        </w:rPr>
        <w:t xml:space="preserve">MSA Schedule (commercial framework reference) — checklist of clauses the MSA should carry for the SOW Suite to inherit cleanly. Not a full MSA template; the full MSA is owned by Legal.</w:t>
      </w:r>
    </w:p>
    <w:p>
      <w:pPr>
        <w:pStyle w:val="ListParagraph"/>
        <w:numPr>
          <w:ilvl w:val="0"/>
          <w:numId w:val="2"/>
        </w:numPr>
        <w:spacing w:after="80"/>
      </w:pPr>
      <w:r>
        <w:rPr>
          <w:sz w:val="22"/>
          <w:szCs w:val="22"/>
        </w:rPr>
        <w:t>SOW 1 — Discovery (S11) — full SOW template for Discovery scope. Lightest of the three.</w:t>
      </w:r>
    </w:p>
    <w:p>
      <w:pPr>
        <w:pStyle w:val="ListParagraph"/>
        <w:numPr>
          <w:ilvl w:val="0"/>
          <w:numId w:val="2"/>
        </w:numPr>
        <w:spacing w:after="80"/>
      </w:pPr>
      <w:r>
        <w:rPr>
          <w:sz w:val="22"/>
          <w:szCs w:val="22"/>
        </w:rPr>
        <w:t>SOW 2 — Design (S12) — full SOW template for Solution Design and Full Business Case. Includes the ROM-to-firm conversion mechanic.</w:t>
      </w:r>
    </w:p>
    <w:p>
      <w:pPr>
        <w:pStyle w:val="ListParagraph"/>
        <w:numPr>
          <w:ilvl w:val="0"/>
          <w:numId w:val="2"/>
        </w:numPr>
        <w:spacing w:after="80"/>
      </w:pPr>
      <w:r>
        <w:rPr>
          <w:sz w:val="22"/>
          <w:szCs w:val="22"/>
        </w:rPr>
        <w:t xml:space="preserve">SOW 3 — Build, Test, Deploy, Hypercare (Stages 13–17) — full SOW template for the main delivery phases. The heaviest of the three; carries the firm/capped pricing, full RACI, exit criteria and hypercare extension protocol.</w:t>
      </w:r>
    </w:p>
    <w:p>
      <w:pPr>
        <w:spacing w:after="120" w:before="0"/>
      </w:pPr>
      <w:r>
        <w:t xml:space="preserve">Adapt each template to the specific engagement, but do not weaken the protections this Suite Overview describes — the ROM-to-firm clause, named personnel commitment, IP ownership, change control SLA, termination mechanics. These are the clauses that hold up under stress when the engagement runs into difficulty.</w:t>
      </w:r>
    </w:p>
    <w:p>
      <w:pPr>
        <w:pStyle w:val="Heading1"/>
        <w:spacing w:after="180" w:before="360"/>
      </w:pPr>
      <w:r>
        <w:rPr>
          <w:b/>
          <w:bCs/>
          <w:sz w:val="32"/>
          <w:szCs w:val="32"/>
        </w:rPr>
        <w:t xml:space="preserve">8. Change log for this template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1500"/>
        <w:gridCol w:w="4026"/>
      </w:tblGrid>
      <w:tr>
        <w:trPr>
          <w:tblHeader/>
        </w:trPr>
        <w:tc>
          <w:tcPr>
            <w:tcW w:type="dxa" w:w="1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sz w:val="20"/>
                <w:szCs w:val="20"/>
              </w:rPr>
              <w:t xml:space="preserve">Version</w:t>
            </w:r>
          </w:p>
        </w:tc>
        <w:tc>
          <w:tcPr>
            <w:tcW w:type="dxa" w:w="2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sz w:val="20"/>
                <w:szCs w:val="20"/>
              </w:rPr>
              <w:t xml:space="preserve">Date</w:t>
            </w:r>
          </w:p>
        </w:tc>
        <w:tc>
          <w:tcPr>
            <w:tcW w:type="dxa" w:w="1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sz w:val="20"/>
                <w:szCs w:val="20"/>
              </w:rPr>
              <w:t xml:space="preserve">Author</w:t>
            </w:r>
          </w:p>
        </w:tc>
        <w:tc>
          <w:tcPr>
            <w:tcW w:type="dxa" w:w="40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sz w:val="20"/>
                <w:szCs w:val="20"/>
              </w:rPr>
              <w:t xml:space="preserve">Change</w:t>
            </w:r>
          </w:p>
        </w:tc>
      </w:tr>
      <w:tr>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[Initial template]</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Method team</w:t>
            </w:r>
          </w:p>
        </w:tc>
        <w:tc>
          <w:tcPr>
            <w:tcW w:type="dxa" w:w="40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Initial release of the SOW Suite Overview, drafted alongside SOW 1, SOW 2, SOW 3 and the MSA Schedule reference</w:t>
            </w:r>
          </w:p>
        </w:tc>
      </w:tr>
    </w:tbl>
    <w:sectPr>
      <w:headerReference w:type="default" r:id="rId7"/>
      <w:footerReference w:type="default" r:id="rId8"/>
      <w:headerReference w:type="first" r:id="rId10"/>
      <w:headerReference w:type="even" r:id="rId11"/>
      <w:footerReference w:type="first" r:id="rId12"/>
      <w:footerReference w:type="even" r:id="rId13"/>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06B80"/>
        <w:sz w:val="16"/>
        <w:szCs w:val="16"/>
      </w:rPr>
      <w:t xml:space="preserve">Page </w:t>
    </w:r>
    <w:r>
      <w:rPr>
        <w:color w:val="606B80"/>
        <w:sz w:val="16"/>
        <w:szCs w:val="16"/>
      </w:rPr>
      <w:fldChar w:fldCharType="begin"/>
      <w:instrText xml:space="preserve">PAGE</w:instrText>
      <w:fldChar w:fldCharType="separate"/>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06B80"/>
        <w:sz w:val="16"/>
        <w:szCs w:val="16"/>
      </w:rPr>
      <w:t xml:space="preserve">ERP Method · SOW Suite Overview</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A44"/>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F2A44"/>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2C4F8F"/>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2026-04-30T12:58:16.350Z</dcterms:created>
  <dcterms:modified xsi:type="dcterms:W3CDTF">2026-04-30T12:58:16.350Z</dcterms:modified>
</cp:coreProperties>
</file>

<file path=docProps/custom.xml><?xml version="1.0" encoding="utf-8"?>
<Properties xmlns="http://schemas.openxmlformats.org/officeDocument/2006/custom-properties" xmlns:vt="http://schemas.openxmlformats.org/officeDocument/2006/docPropsVTypes"/>
</file>