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1F2A44"/>
          <w:sz w:val="44"/>
          <w:szCs w:val="44"/>
        </w:rPr>
        <w:t xml:space="preserve">MSA Schedule</w:t>
      </w:r>
    </w:p>
    <w:p>
      <w:pPr>
        <w:spacing w:after="480"/>
        <w:jc w:val="center"/>
      </w:pPr>
      <w:r>
        <w:rPr>
          <w:i/>
          <w:iCs/>
          <w:color w:val="606B80"/>
          <w:sz w:val="24"/>
          <w:szCs w:val="24"/>
        </w:rPr>
        <w:t xml:space="preserve">Commercial framework reference — what the MSA must carry for the SOW Suite to inherit cleanly</w:t>
      </w:r>
    </w:p>
    <w:p>
      <w:pPr>
        <w:pStyle w:val="Heading2"/>
        <w:spacing w:after="140" w:before="280"/>
      </w:pPr>
      <w:r>
        <w:rPr>
          <w:b/>
          <w:bCs/>
          <w:color w:val="1F2A44"/>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Version</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 — Initial template</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Owner</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Programme Manager (in partnership with Legal and Procurement)</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Audience</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Programme Manager, Legal counsel, Procurement</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Status</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Reference document — not a full MSA</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2A44" w:sz="4"/>
              <w:left w:val="single" w:color="1F2A44" w:sz="24"/>
              <w:bottom w:val="single" w:color="1F2A44" w:sz="4"/>
              <w:right w:val="single" w:color="1F2A44" w:sz="4"/>
            </w:tcBorders>
            <w:shd w:fill="F4F6FA" w:val="clear"/>
            <w:tcMar>
              <w:top w:type="dxa" w:w="200"/>
              <w:left w:type="dxa" w:w="240"/>
              <w:bottom w:type="dxa" w:w="200"/>
              <w:right w:type="dxa" w:w="240"/>
            </w:tcMar>
          </w:tcPr>
          <w:p>
            <w:pPr>
              <w:spacing w:after="120"/>
            </w:pPr>
            <w:r>
              <w:rPr>
                <w:b/>
                <w:bCs/>
                <w:color w:val="1F2A44"/>
                <w:sz w:val="18"/>
                <w:szCs w:val="18"/>
              </w:rPr>
              <w:t xml:space="preserve">WHAT THIS DOCUMENT IS — AND IS NOT</w:t>
            </w:r>
          </w:p>
          <w:p>
            <w:r>
              <w:rPr>
                <w:sz w:val="22"/>
                <w:szCs w:val="22"/>
              </w:rPr>
              <w:t xml:space="preserve">This is a checklist for the programme team. It lists the clauses an MSA should carry for the SOW Suite (SOW 1 Discovery, SOW 2 Design, SOW 3 Build–Hypercare) to inherit cleanly. It is NOT a full MSA template. The MSA itself is owned and drafted by Legal and Procurement working with the SI's Legal team. The programme team's role is to confirm the MSA covers the standing terms below before any SOW is signed, and to flag gaps to Legal early.</w:t>
            </w:r>
          </w:p>
        </w:tc>
      </w:tr>
    </w:tbl>
    <w:p>
      <w:pPr>
        <w:pStyle w:val="Heading1"/>
        <w:spacing w:after="180" w:before="360"/>
      </w:pPr>
      <w:r>
        <w:rPr>
          <w:b/>
          <w:bCs/>
          <w:color w:val="1F2A44"/>
          <w:sz w:val="32"/>
          <w:szCs w:val="32"/>
        </w:rPr>
        <w:t xml:space="preserve">Purpose of the MSA in the SOW Suite</w:t>
      </w:r>
    </w:p>
    <w:p>
      <w:pPr>
        <w:spacing w:after="120" w:before="0"/>
      </w:pPr>
      <w:r>
        <w:t xml:space="preserve">The Master Services Agreement is the parent legal framework between Client and SI. It is signed once at company level, and it carries the standing terms that govern the entire commercial relationship — terms that should not need renegotiating each time a SOW is added. Each SOW under the suite inherits these terms via a single reference clause, and only carries engagement-specific scope, deliverables, RACI and milestone content.</w:t>
      </w:r>
    </w:p>
    <w:p>
      <w:pPr>
        <w:spacing w:after="120" w:before="0"/>
      </w:pPr>
      <w:r>
        <w:t xml:space="preserve">If no MSA exists when an SI is selected, the programme team must work with Legal and Procurement to put one in place before any SOW is signed. SOWs without an MSA underneath are exposed: they have to carry every commercial and legal term inline, which makes them long, harder to negotiate consistently, and inconsistent across multiple parallel engagements with the same SI.</w:t>
      </w:r>
    </w:p>
    <w:p>
      <w:pPr>
        <w:pStyle w:val="Heading1"/>
        <w:spacing w:after="180" w:before="360"/>
      </w:pPr>
      <w:r>
        <w:rPr>
          <w:b/>
          <w:bCs/>
          <w:color w:val="1F2A44"/>
          <w:sz w:val="32"/>
          <w:szCs w:val="32"/>
        </w:rPr>
        <w:t xml:space="preserve">MSA clause checklist</w:t>
      </w:r>
    </w:p>
    <w:p>
      <w:pPr>
        <w:spacing w:after="120" w:before="0"/>
      </w:pPr>
      <w:r>
        <w:t xml:space="preserve">The MSA should carry the following clauses. For each clause, the programme team checks whether the existing MSA covers it; if not, that's a gap to flag to Legal before any SOW signs. The columns are: Clause, What it covers, Why the programme team cares.</w:t>
      </w:r>
    </w:p>
    <w:p>
      <w:pPr>
        <w:pStyle w:val="Heading2"/>
        <w:spacing w:after="140" w:before="280"/>
      </w:pPr>
      <w:r>
        <w:rPr>
          <w:b/>
          <w:bCs/>
          <w:color w:val="1F2A44"/>
          <w:sz w:val="26"/>
          <w:szCs w:val="26"/>
        </w:rPr>
        <w:t xml:space="preserve">1. Parties, term and structure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00"/>
        <w:gridCol w:w="3326"/>
      </w:tblGrid>
      <w:tr>
        <w:trPr>
          <w:tblHeader/>
        </w:trPr>
        <w:tc>
          <w:tcPr>
            <w:tcW w:type="dxa" w:w="24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Clause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What it covers</w:t>
            </w:r>
          </w:p>
        </w:tc>
        <w:tc>
          <w:tcPr>
            <w:tcW w:type="dxa" w:w="3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Why the programme team cares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Parties</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 and SI legal entity names, registered offices, company numbers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Wrong entity = unenforceable contract. Client side often has multiple entities; pick the right one.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Effective date and term</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When the MSA starts, how long it runs, renewal mechanic</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MSA must run at least as long as the longest possible programme duration with renewals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Structure of work under MSA</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How SOWs are added under the MSA, signature authority, conflict-resolution rule (MSA prevails over SOW unless SOW expressly varies)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Without this, every new SOW becomes a renegotiation. Conflict rule prevents SOW drift overriding MSA protections.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Definitions</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Standing definitions (Confidential Information, Foreground IP, Material Breach, etc.) used across all SOWs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Each SOW inherits these. Avoids redefining the same terms inconsistently.</w:t>
            </w:r>
          </w:p>
        </w:tc>
      </w:tr>
    </w:tbl>
    <w:p>
      <w:pPr>
        <w:pStyle w:val="Heading2"/>
        <w:spacing w:after="140" w:before="280"/>
      </w:pPr>
      <w:r>
        <w:rPr>
          <w:b/>
          <w:bCs/>
          <w:color w:val="1F2A44"/>
          <w:sz w:val="26"/>
          <w:szCs w:val="26"/>
        </w:rPr>
        <w:t xml:space="preserve">2. Commercial framework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00"/>
        <w:gridCol w:w="3326"/>
      </w:tblGrid>
      <w:tr>
        <w:trPr>
          <w:tblHeader/>
        </w:trPr>
        <w:tc>
          <w:tcPr>
            <w:tcW w:type="dxa" w:w="24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Clause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What it covers</w:t>
            </w:r>
          </w:p>
        </w:tc>
        <w:tc>
          <w:tcPr>
            <w:tcW w:type="dxa" w:w="3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Why the programme team cares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Rate card</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Day rates per SI role grade. Annual review mechanism and cap on increases.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Locks SI rates for the engagement. Without a rate-card lock the SI can drift rates upward across SOWs.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Payment terms</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Invoice frequency (typically monthly), payment terms (30 days from invoice), late payment interest rate, currency, VAT treatment</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Standardised across SOWs. Avoids each SOW negotiating payment terms from scratch.</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Expenses policy</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Allowable expenses (travel, accommodation, subsistence), approval process, caps, billing format</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Without an expenses cap, SOWs can be quietly inflated by 10–15% via expense charges.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Pricing models permitted</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What pricing models can be used in SOWs (T&amp;M, T&amp;M with cap, fixed price, milestone-based). Default to use if SOW silent.</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Lets SOWs reference 'T&amp;M with cap as defined in MSA' rather than re-explaining each time.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Invoice format and dispute</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What an invoice must include, how disputes are raised and resolved, withhold mechanism</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 retains the right to withhold disputed amounts. Without this, all invoices must be paid then disputed retrospectively.</w:t>
            </w:r>
          </w:p>
        </w:tc>
      </w:tr>
    </w:tbl>
    <w:p>
      <w:pPr>
        <w:pStyle w:val="Heading2"/>
        <w:spacing w:after="140" w:before="280"/>
      </w:pPr>
      <w:r>
        <w:rPr>
          <w:b/>
          <w:bCs/>
          <w:color w:val="1F2A44"/>
          <w:sz w:val="26"/>
          <w:szCs w:val="26"/>
        </w:rPr>
        <w:t xml:space="preserve">3. Intellectual property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00"/>
        <w:gridCol w:w="3326"/>
      </w:tblGrid>
      <w:tr>
        <w:trPr>
          <w:tblHeader/>
        </w:trPr>
        <w:tc>
          <w:tcPr>
            <w:tcW w:type="dxa" w:w="24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Clause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What it covers</w:t>
            </w:r>
          </w:p>
        </w:tc>
        <w:tc>
          <w:tcPr>
            <w:tcW w:type="dxa" w:w="3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Why the programme team cares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Background IP</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IP owned by each party prior to engagement. Mutual licences for use in delivery only, not retained beyond.</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Avoids accidental transfer of Client Background IP to SI through engagement work product.</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Foreground IP — Client ownership</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All work product created in performance of any SOW (designs, configuration, custom code, integration design, data migration design, documentation) vests in the Client on creation.</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Critical. Without this, Client pays for design twice — once at delivery, once via licence to reuse. SI cannot retain Client-paid design for use elsewhere.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 Background IP licence-back</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Where Foreground IP embeds SI Background IP, Client gets perpetual royalty-free licence to use Background IP solely as embedded.</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Stops the SI putting Background IP inside Foreground deliverables and then charging the Client to use them.</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Open-source treatment</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 must disclose open-source components used in delivery, licences, and obligations (attribution, source disclosure for copyleft licences)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Avoids GPL contamination of Client codebase or unexpected licence obligations post go-live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Reuse and reference rights</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SI's right to use Client-paid IP in marketing, case studies, reference calls. Default no, with explicit Client consent for each instance.</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SOWs sometimes hide marketing-rights clauses in 'Marketing' sections. Make these MSA-level and consent-based.</w:t>
            </w:r>
          </w:p>
        </w:tc>
      </w:tr>
    </w:tbl>
    <w:p>
      <w:pPr>
        <w:pStyle w:val="Heading2"/>
        <w:spacing w:after="140" w:before="280"/>
      </w:pPr>
      <w:r>
        <w:rPr>
          <w:b/>
          <w:bCs/>
          <w:color w:val="1F2A44"/>
          <w:sz w:val="26"/>
          <w:szCs w:val="26"/>
        </w:rPr>
        <w:t xml:space="preserve">4. Liability and indemnity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00"/>
        <w:gridCol w:w="3326"/>
      </w:tblGrid>
      <w:tr>
        <w:trPr>
          <w:tblHeader/>
        </w:trPr>
        <w:tc>
          <w:tcPr>
            <w:tcW w:type="dxa" w:w="24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Clause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What it covers</w:t>
            </w:r>
          </w:p>
        </w:tc>
        <w:tc>
          <w:tcPr>
            <w:tcW w:type="dxa" w:w="3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Why the programme team cares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Liability cap</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Annual liability cap, per-incident cap. Carve-outs for breach of confidentiality, breach of data protection, IP infringement, fraud.</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Liability cap of e.g. 1× annual fees gives Client real recourse on a £M failure, not just a notional £100k cap.</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Indemnities — IP infringement</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 indemnifies Client against third-party IP infringement claims arising from SI deliverables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Standard. Without it, Client carries the risk if SI inadvertently uses infringing code or design.</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Indemnities — data breach</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 indemnifies Client for breaches of data protection caused by SI's acts or omissions in performance of the engagement</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Personal data flows through SI hands during data migration. Indemnity protects against SI causing a breach.</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Excluded losses</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Indirect, consequential, loss of profit etc. Mutually excluded except for fraud, IP infringement, data protection breaches.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Standard reciprocal exclusion. Both parties protected from runaway claims.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Insurance</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 insurance levels — professional indemnity, public liability, cyber liability, employer's liability. Annual evidence of cover.</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Liability cap is only as good as the SI's ability to pay. Insurance backs the cap with real money.</w:t>
            </w:r>
          </w:p>
        </w:tc>
      </w:tr>
    </w:tbl>
    <w:p>
      <w:r>
        <w:br w:type="page"/>
      </w:r>
    </w:p>
    <w:p>
      <w:pPr>
        <w:pStyle w:val="Heading2"/>
        <w:spacing w:after="140" w:before="280"/>
      </w:pPr>
      <w:r>
        <w:rPr>
          <w:b/>
          <w:bCs/>
          <w:color w:val="1F2A44"/>
          <w:sz w:val="26"/>
          <w:szCs w:val="26"/>
        </w:rPr>
        <w:t xml:space="preserve">5. Personal data and security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00"/>
        <w:gridCol w:w="3326"/>
      </w:tblGrid>
      <w:tr>
        <w:trPr>
          <w:tblHeader/>
        </w:trPr>
        <w:tc>
          <w:tcPr>
            <w:tcW w:type="dxa" w:w="24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Clause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What it covers</w:t>
            </w:r>
          </w:p>
        </w:tc>
        <w:tc>
          <w:tcPr>
            <w:tcW w:type="dxa" w:w="3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Why the programme team cares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Data Processing Agreement (DPA)</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Annexed to MSA. Sets out controller/processor relationship, data categories, processing purposes, sub-processors, data transfers, security measures.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Required by GDPR/UK GDPR where SI processes personal data on Client's behalf. ERP migrations always involve personal data.</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Sub-processors</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List of approved sub-processors, change notification, Client objection right</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 may use offshore delivery centres. Client should know which entities are processing their data.</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Information security</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ISO 27001 / equivalent certification, security control framework, breach notification timelines (typically 24–72 hours)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Sets the security floor. SOWs can require specific controls above this floor for sensitive data work.</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Audit rights</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 right to audit SI controls (annual + on cause), advance notice, scope, costs, access to sub-processors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Without audit rights the Client has no way to verify the SI's actual security posture.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Data return on termination</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On termination of any SOW or the MSA, SI returns or destroys Client data within defined timeline, certifies completion in writing</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Closes the loop. Critical for GDPR Article 28 compliance.</w:t>
            </w:r>
          </w:p>
        </w:tc>
      </w:tr>
    </w:tbl>
    <w:p>
      <w:pPr>
        <w:pStyle w:val="Heading2"/>
        <w:spacing w:after="140" w:before="280"/>
      </w:pPr>
      <w:r>
        <w:rPr>
          <w:b/>
          <w:bCs/>
          <w:color w:val="1F2A44"/>
          <w:sz w:val="26"/>
          <w:szCs w:val="26"/>
        </w:rPr>
        <w:t xml:space="preserve">6. Confidentiality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00"/>
        <w:gridCol w:w="3326"/>
      </w:tblGrid>
      <w:tr>
        <w:trPr>
          <w:tblHeader/>
        </w:trPr>
        <w:tc>
          <w:tcPr>
            <w:tcW w:type="dxa" w:w="24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Clause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What it covers</w:t>
            </w:r>
          </w:p>
        </w:tc>
        <w:tc>
          <w:tcPr>
            <w:tcW w:type="dxa" w:w="3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Why the programme team cares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Definition of Confidential Information</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What's covered, what's not (publicly known, independently developed, etc.)</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Standing definition used across all SOWs. Covers commercial info, designs, data, strategic intent.</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Permitted use and disclosure</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Limited to performance of the engagement, need-to-know basis, comparable obligations on personnel</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Stops Client information being shared inside the SI beyond the engagement team.</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Survival of obligations</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Confidentiality survives termination of MSA and SOWs (typically 5+ years)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Information stays confidential even after the relationship ends.</w:t>
            </w:r>
          </w:p>
        </w:tc>
      </w:tr>
    </w:tbl>
    <w:p>
      <w:pPr>
        <w:pStyle w:val="Heading2"/>
        <w:spacing w:after="140" w:before="280"/>
      </w:pPr>
      <w:r>
        <w:rPr>
          <w:b/>
          <w:bCs/>
          <w:color w:val="1F2A44"/>
          <w:sz w:val="26"/>
          <w:szCs w:val="26"/>
        </w:rPr>
        <w:t xml:space="preserve">7. Termination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00"/>
        <w:gridCol w:w="3326"/>
      </w:tblGrid>
      <w:tr>
        <w:trPr>
          <w:tblHeader/>
        </w:trPr>
        <w:tc>
          <w:tcPr>
            <w:tcW w:type="dxa" w:w="24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Clause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What it covers</w:t>
            </w:r>
          </w:p>
        </w:tc>
        <w:tc>
          <w:tcPr>
            <w:tcW w:type="dxa" w:w="3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Why the programme team cares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Termination for cause</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Material breach with cure period (typically 30 days), insolvency, change of control without consent</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 needs ability to exit if SI fails. Cure period must be short enough to be useful, long enough to be reasonable.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Termination for convenience</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Mutual or one-sided right to terminate without cause, notice period (typically 30–90 days), payment for work delivered</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 side is most exposed if SOWs lock in long commitments. Termination for convenience gives the off-ramp.</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Effect of termination</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Handover of work products, IP, knowledge transfer, data, in-progress materials within fixed timeline at no additional charge</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Without this clause the SI can withhold work product or charge premium rates for handover during exit.</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Survival post-termination</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Which clauses survive (IP, confidentiality, audit, data protection, dispute resolution)</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These obligations don't end when the relationship ends.</w:t>
            </w:r>
          </w:p>
        </w:tc>
      </w:tr>
    </w:tbl>
    <w:p>
      <w:pPr>
        <w:pStyle w:val="Heading2"/>
        <w:spacing w:after="140" w:before="280"/>
      </w:pPr>
      <w:r>
        <w:rPr>
          <w:b/>
          <w:bCs/>
          <w:color w:val="1F2A44"/>
          <w:sz w:val="26"/>
          <w:szCs w:val="26"/>
        </w:rPr>
        <w:t xml:space="preserve">8. Dispute resolution and governance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00"/>
        <w:gridCol w:w="3326"/>
      </w:tblGrid>
      <w:tr>
        <w:trPr>
          <w:tblHeader/>
        </w:trPr>
        <w:tc>
          <w:tcPr>
            <w:tcW w:type="dxa" w:w="24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Clause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What it covers</w:t>
            </w:r>
          </w:p>
        </w:tc>
        <w:tc>
          <w:tcPr>
            <w:tcW w:type="dxa" w:w="3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Why the programme team cares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Escalation path</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Tiered escalation: PM → Steering → Sponsor → Senior Executives. Time at each tier before next step.</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Most disputes are operational and resolve at PM/Steering. The escalation path stops them festering.</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Mediation / expert determination</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Optional pre-litigation mediation, named mediation body, who pays costs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Cheaper and faster than litigation. Often required by court before proceedings can be issued.</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Jurisdiction and governing law</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Which country's law governs, which courts have exclusive jurisdiction</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For UK Client + UK SI, England &amp; Wales is standard. Cross-border engagements need care.</w:t>
            </w:r>
          </w:p>
        </w:tc>
      </w:tr>
    </w:tbl>
    <w:p>
      <w:pPr>
        <w:pStyle w:val="Heading2"/>
        <w:spacing w:after="140" w:before="280"/>
      </w:pPr>
      <w:r>
        <w:rPr>
          <w:b/>
          <w:bCs/>
          <w:color w:val="1F2A44"/>
          <w:sz w:val="26"/>
          <w:szCs w:val="26"/>
        </w:rPr>
        <w:t xml:space="preserve">9. Operational provisions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00"/>
        <w:gridCol w:w="3326"/>
      </w:tblGrid>
      <w:tr>
        <w:trPr>
          <w:tblHeader/>
        </w:trPr>
        <w:tc>
          <w:tcPr>
            <w:tcW w:type="dxa" w:w="24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Clause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What it covers</w:t>
            </w:r>
          </w:p>
        </w:tc>
        <w:tc>
          <w:tcPr>
            <w:tcW w:type="dxa" w:w="3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Why the programme team cares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Sub-contracting</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SI's right to sub-contract, Client consent rights, flow-down of MSA terms to sub-contractors, SI remains liable for sub-contractor performance</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Stops the SI bringing in unknown sub-contractors and limiting their own liability.</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Non-solicitation</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Mutual restriction on hiring each other's staff during engagement and for a defined period after (typically 6–12 months)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Standard clause. Avoids losing key SI delivery personnel mid-engagement, and vice versa.</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Force majeure</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Events excused (war, natural disaster, pandemic), notification, mitigation duty, termination right after extended event</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Both parties protected from genuinely uncontrollable events. Lockdown era taught the industry to take this seriously.</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Modern slavery / anti-bribery / sanctions</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Compliance warranties from the SI, audit rights, termination right on breach</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Standard now. Required for many Client procurement frameworks.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Variation mechanism</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How the MSA itself can be varied (written variation, signed by both parties)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Stops MSA being varied informally via email or by drift through SOW language.</w:t>
            </w:r>
          </w:p>
        </w:tc>
      </w:tr>
    </w:tbl>
    <w:p>
      <w:pPr>
        <w:pStyle w:val="Heading1"/>
        <w:spacing w:after="180" w:before="360"/>
      </w:pPr>
      <w:r>
        <w:rPr>
          <w:b/>
          <w:bCs/>
          <w:color w:val="1F2A44"/>
          <w:sz w:val="32"/>
          <w:szCs w:val="32"/>
        </w:rPr>
        <w:t xml:space="preserve">Pre-SOW MSA gap analysis</w:t>
      </w:r>
    </w:p>
    <w:p>
      <w:pPr>
        <w:spacing w:after="120" w:before="0"/>
      </w:pPr>
      <w:r>
        <w:t xml:space="preserve">Before any SOW is signed, the Programme Manager runs a gap analysis with Legal and Procurement against the checklist above. The output is a short document — a gap log with one row per clause — flagging clauses that are missing, incomplete or unclear in the existing MSA.</w:t>
      </w:r>
    </w:p>
    <w:p>
      <w:pPr>
        <w:spacing w:after="120" w:before="0"/>
      </w:pPr>
      <w:r>
        <w:t xml:space="preserve">Where gaps exist, three options:</w:t>
      </w:r>
    </w:p>
    <w:p>
      <w:pPr>
        <w:pStyle w:val="ListParagraph"/>
        <w:numPr>
          <w:ilvl w:val="0"/>
          <w:numId w:val="2"/>
        </w:numPr>
        <w:spacing w:after="80"/>
      </w:pPr>
      <w:r>
        <w:rPr>
          <w:sz w:val="22"/>
          <w:szCs w:val="22"/>
        </w:rPr>
        <w:t xml:space="preserve">Resolve at MSA level — preferred. Negotiate a variation to the MSA before signing the SOW. Slower but cleaner; the protection is in place for all future SOWs.</w:t>
      </w:r>
    </w:p>
    <w:p>
      <w:pPr>
        <w:pStyle w:val="ListParagraph"/>
        <w:numPr>
          <w:ilvl w:val="0"/>
          <w:numId w:val="2"/>
        </w:numPr>
        <w:spacing w:after="80"/>
      </w:pPr>
      <w:r>
        <w:rPr>
          <w:sz w:val="22"/>
          <w:szCs w:val="22"/>
        </w:rPr>
        <w:t xml:space="preserve">Resolve at SOW level — acceptable for one-off issues. Carry the missing clause inline in the SOW. Repeated SOW-level fixes for the same gap should trigger an MSA variation.</w:t>
      </w:r>
    </w:p>
    <w:p>
      <w:pPr>
        <w:pStyle w:val="ListParagraph"/>
        <w:numPr>
          <w:ilvl w:val="0"/>
          <w:numId w:val="2"/>
        </w:numPr>
        <w:spacing w:after="80"/>
      </w:pPr>
      <w:r>
        <w:rPr>
          <w:sz w:val="22"/>
          <w:szCs w:val="22"/>
        </w:rPr>
        <w:t xml:space="preserve">Accept the gap — only with documented Legal and Procurement sign-off on the residual risk. Rarely the right answer.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PROGRAMME TEAM RULE OF THUMB</w:t>
            </w:r>
          </w:p>
          <w:p>
            <w:r>
              <w:rPr>
                <w:sz w:val="22"/>
                <w:szCs w:val="22"/>
              </w:rPr>
              <w:t xml:space="preserve">If the existing MSA covers fewer than 70% of the clauses on this checklist, do not start the SOW Suite work — fix the MSA first. Programmes that proceed under thin MSAs invariably need to renegotiate at the worst possible moment, typically during a delivery dispute when the leverage is wrong.</w:t>
            </w:r>
          </w:p>
        </w:tc>
      </w:tr>
    </w:tbl>
    <w:p>
      <w:pPr>
        <w:pStyle w:val="Heading1"/>
        <w:spacing w:after="180" w:before="360"/>
      </w:pPr>
      <w:r>
        <w:rPr>
          <w:b/>
          <w:bCs/>
          <w:color w:val="1F2A44"/>
          <w:sz w:val="32"/>
          <w:szCs w:val="32"/>
        </w:rPr>
        <w:t xml:space="preserve">MSA-to-SOW reference clause</w:t>
      </w:r>
    </w:p>
    <w:p>
      <w:pPr>
        <w:spacing w:after="120" w:before="0"/>
      </w:pPr>
      <w:r>
        <w:t xml:space="preserve">Each SOW under this suite opens with the same standard reference clause: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2A44" w:sz="4"/>
              <w:left w:val="single" w:color="1F2A44" w:sz="24"/>
              <w:bottom w:val="single" w:color="1F2A44" w:sz="4"/>
              <w:right w:val="single" w:color="1F2A44" w:sz="4"/>
            </w:tcBorders>
            <w:shd w:fill="F4F6FA" w:val="clear"/>
            <w:tcMar>
              <w:top w:type="dxa" w:w="200"/>
              <w:left w:type="dxa" w:w="240"/>
              <w:bottom w:type="dxa" w:w="200"/>
              <w:right w:type="dxa" w:w="240"/>
            </w:tcMar>
          </w:tcPr>
          <w:p>
            <w:pPr>
              <w:spacing w:after="120"/>
            </w:pPr>
            <w:r>
              <w:rPr>
                <w:b/>
                <w:bCs/>
                <w:color w:val="1F2A44"/>
                <w:sz w:val="18"/>
                <w:szCs w:val="18"/>
              </w:rPr>
              <w:t xml:space="preserve">STANDARD MSA REFERENCE CLAUSE</w:t>
            </w:r>
          </w:p>
          <w:p>
            <w:r>
              <w:rPr>
                <w:sz w:val="22"/>
                <w:szCs w:val="22"/>
              </w:rPr>
              <w:t xml:space="preserve">This Statement of Work is executed under and governed by the Master Services Agreement (MSA) dated [DATE] between [CLIENT NAME] ("Client") and [SI NAME] ("Supplier"). All capitalised terms used and not defined in this SOW have the meanings given in the MSA. In the event of conflict between this SOW and the MSA, the MSA prevails except where this SOW expressly varies its terms in respect of this engagement only.</w:t>
            </w:r>
          </w:p>
        </w:tc>
      </w:tr>
    </w:tbl>
    <w:p>
      <w:pPr>
        <w:spacing w:after="120" w:before="0"/>
      </w:pPr>
      <w:r>
        <w:t xml:space="preserve">The conflict-resolution rule ("MSA prevails except where this SOW expressly varies") is the critical line. Without it, well-meaning programme teams can write SOW clauses that inadvertently undercut MSA protections without anyone noticing until it matters.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06B80"/>
        <w:sz w:val="16"/>
        <w:szCs w:val="16"/>
      </w:rPr>
      <w:t xml:space="preserve">Page </w:t>
    </w:r>
    <w:r>
      <w:rPr>
        <w:color w:val="606B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06B80"/>
        <w:sz w:val="16"/>
        <w:szCs w:val="16"/>
      </w:rPr>
      <w:t xml:space="preserve">ERP Method · MSA Schedule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A44"/>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F2A44"/>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2C4F8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2026-04-30T13:00:50.174Z</dcterms:created>
  <dcterms:modified xsi:type="dcterms:W3CDTF">2026-04-30T13:00:50.175Z</dcterms:modified>
</cp:coreProperties>
</file>

<file path=docProps/custom.xml><?xml version="1.0" encoding="utf-8"?>
<Properties xmlns="http://schemas.openxmlformats.org/officeDocument/2006/custom-properties" xmlns:vt="http://schemas.openxmlformats.org/officeDocument/2006/docPropsVTypes"/>
</file>