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F2A44"/>
          <w:sz w:val="40"/>
          <w:szCs w:val="40"/>
        </w:rPr>
        <w:t xml:space="preserve">Statement of Work 1</w:t>
      </w:r>
    </w:p>
    <w:p>
      <w:pPr>
        <w:spacing w:after="120"/>
        <w:jc w:val="center"/>
      </w:pPr>
      <w:r>
        <w:rPr>
          <w:b/>
          <w:bCs/>
          <w:color w:val="1F2A44"/>
          <w:sz w:val="32"/>
          <w:szCs w:val="32"/>
        </w:rPr>
        <w:t>Discovery — Discovery (S11)</w:t>
      </w:r>
    </w:p>
    <w:p>
      <w:pPr>
        <w:spacing w:after="480"/>
        <w:jc w:val="center"/>
      </w:pPr>
      <w:r>
        <w:rPr>
          <w:i/>
          <w:iCs/>
          <w:color w:val="606B80"/>
          <w:sz w:val="22"/>
          <w:szCs w:val="22"/>
        </w:rPr>
        <w:t xml:space="preserve">Template — adapt for the specific engagement. Legal and Procurement own final 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PRE-SIGNATURE CHECKLIST</w:t>
            </w:r>
          </w:p>
          <w:p>
            <w:r>
              <w:rPr>
                <w:sz w:val="22"/>
                <w:szCs w:val="22"/>
              </w:rPr>
              <w:t>Before signing this SOW, confirm: (a) the MSA is in place and covers the standing terms set out in MSA Schedule (Commercial Framework Reference); (b) Legal and Procurement have reviewed and approved the commercial and contractual terms; (c) the named Supplier personnel listed in this SOW are confirmed available; (d) Client-side roles required to support Discovery are confirmed and resourced; (e) the Funding Envelope from Funding Envelope &amp; Benchmark Costs (S6) covers the Discovery effort capped here.</w:t>
            </w:r>
          </w:p>
        </w:tc>
      </w:tr>
    </w:tbl>
    <w:p>
      <w:pPr>
        <w:pStyle w:val="Heading1"/>
        <w:spacing w:after="180" w:before="360"/>
      </w:pPr>
      <w:r>
        <w:rPr>
          <w:b/>
          <w:bCs/>
          <w:color w:val="1F2A44"/>
          <w:sz w:val="32"/>
          <w:szCs w:val="32"/>
        </w:rPr>
        <w:t xml:space="preserve">1. Document Control</w:t>
      </w:r>
    </w:p>
    <w:p>
      <w:pPr>
        <w:pStyle w:val="Heading2"/>
        <w:spacing w:after="140" w:before="280"/>
      </w:pPr>
      <w:r>
        <w:rPr>
          <w:b/>
          <w:bCs/>
          <w:color w:val="1F2A44"/>
          <w:sz w:val="26"/>
          <w:szCs w:val="26"/>
        </w:rPr>
        <w:t xml:space="preserve">1.1 Versions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200"/>
        <w:gridCol w:w="4126"/>
      </w:tblGrid>
      <w:tr>
        <w:trPr>
          <w:tblHeader/>
        </w:trPr>
        <w:tc>
          <w:tcPr>
            <w:tcW w:type="dxa" w:w="1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Version</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Date</w:t>
            </w:r>
          </w:p>
        </w:tc>
        <w:tc>
          <w:tcPr>
            <w:tcW w:type="dxa" w:w="2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Author</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Change</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[Draft date]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Manager]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draft</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[Sign-off date]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 Supplier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Approved version for signature</w:t>
            </w:r>
          </w:p>
        </w:tc>
      </w:tr>
    </w:tbl>
    <w:p>
      <w:pPr>
        <w:pStyle w:val="Heading2"/>
        <w:spacing w:after="140" w:before="280"/>
      </w:pPr>
      <w:r>
        <w:rPr>
          <w:b/>
          <w:bCs/>
          <w:color w:val="1F2A44"/>
          <w:sz w:val="26"/>
          <w:szCs w:val="26"/>
        </w:rPr>
        <w:t xml:space="preserve">1.2 Contact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413"/>
        <w:gridCol w:w="3413"/>
      </w:tblGrid>
      <w:tr>
        <w:trPr>
          <w:tblHeader/>
        </w:trPr>
        <w:tc>
          <w:tcPr>
            <w:tcW w:type="dxa" w:w="2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Role</w:t>
            </w:r>
          </w:p>
        </w:tc>
        <w:tc>
          <w:tcPr>
            <w:tcW w:type="dxa" w:w="34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Client</w:t>
            </w:r>
          </w:p>
        </w:tc>
        <w:tc>
          <w:tcPr>
            <w:tcW w:type="dxa" w:w="34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Supplier</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Sponsor</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Manager</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Commercial / Procurement</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Legal</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c>
          <w:tcPr>
            <w:tcW w:type="dxa" w:w="34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 Role, Email]</w:t>
            </w:r>
          </w:p>
        </w:tc>
      </w:tr>
    </w:tbl>
    <w:p>
      <w:pPr>
        <w:pStyle w:val="Heading1"/>
        <w:spacing w:after="180" w:before="360"/>
      </w:pPr>
      <w:r>
        <w:rPr>
          <w:b/>
          <w:bCs/>
          <w:color w:val="1F2A44"/>
          <w:sz w:val="32"/>
          <w:szCs w:val="32"/>
        </w:rPr>
        <w:t xml:space="preserve">2. Parties and MSA reference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2A44" w:sz="4"/>
              <w:left w:val="single" w:color="1F2A44" w:sz="24"/>
              <w:bottom w:val="single" w:color="1F2A44" w:sz="4"/>
              <w:right w:val="single" w:color="1F2A44" w:sz="4"/>
            </w:tcBorders>
            <w:shd w:fill="F4F6FA" w:val="clear"/>
            <w:tcMar>
              <w:top w:type="dxa" w:w="200"/>
              <w:left w:type="dxa" w:w="240"/>
              <w:bottom w:type="dxa" w:w="200"/>
              <w:right w:type="dxa" w:w="240"/>
            </w:tcMar>
          </w:tcPr>
          <w:p>
            <w:pPr>
              <w:spacing w:after="120"/>
            </w:pPr>
            <w:r>
              <w:rPr>
                <w:b/>
                <w:bCs/>
                <w:color w:val="1F2A44"/>
                <w:sz w:val="18"/>
                <w:szCs w:val="18"/>
              </w:rPr>
              <w:t xml:space="preserve">STANDARD MSA REFERENCE CLAUSE</w:t>
            </w:r>
          </w:p>
          <w:p>
            <w:r>
              <w:rPr>
                <w:sz w:val="22"/>
                <w:szCs w:val="22"/>
              </w:rPr>
              <w:t xml:space="preserve">This Statement of Work is executed under and governed by the Master Services Agreement (MSA) dated [DATE] between [CLIENT NAME] ("Client") and [SI NAME] ("Supplier"). All capitalised terms used and not defined in this SOW have the meanings given in the MSA. In the event of conflict between this SOW and the MSA, the MSA prevails except where this SOW expressly varies its terms in respect of this engagement only.</w:t>
            </w:r>
          </w:p>
        </w:tc>
      </w:tr>
    </w:tbl>
    <w:p>
      <w:pPr>
        <w:spacing w:after="120" w:before="0"/>
      </w:pPr>
      <w:r>
        <w:t xml:space="preserve">This SOW is the first in a suite of three SOWs covering the engagement. SOW 2 (Design) and SOW 3 (Build, Test, Deploy, Hypercare) will follow under separate signatures, conditional on the outcome of this SOW and on subsequent stage gates.</w:t>
      </w:r>
    </w:p>
    <w:p>
      <w:pPr>
        <w:pStyle w:val="Heading1"/>
        <w:spacing w:after="180" w:before="360"/>
      </w:pPr>
      <w:r>
        <w:rPr>
          <w:b/>
          <w:bCs/>
          <w:color w:val="1F2A44"/>
          <w:sz w:val="32"/>
          <w:szCs w:val="32"/>
        </w:rPr>
        <w:t xml:space="preserve">3. SOW Purpose and Scope</w:t>
      </w:r>
    </w:p>
    <w:p>
      <w:pPr>
        <w:pStyle w:val="Heading2"/>
        <w:spacing w:after="140" w:before="280"/>
      </w:pPr>
      <w:r>
        <w:rPr>
          <w:b/>
          <w:bCs/>
          <w:color w:val="1F2A44"/>
          <w:sz w:val="26"/>
          <w:szCs w:val="26"/>
        </w:rPr>
        <w:t xml:space="preserve">3.1 Purpose</w:t>
      </w:r>
    </w:p>
    <w:p>
      <w:pPr>
        <w:spacing w:after="120" w:before="0"/>
      </w:pPr>
      <w:r>
        <w:t xml:space="preserve">This SOW covers the work to be performed during Stage 11 (Discovery) of the canonical Method. The objective of Discovery is to surface the Client's actual operating processes, requirements, data landscape and integration footprint, and to map them against the selected target software platform to produce a documented fit-gap analysis.</w:t>
      </w:r>
    </w:p>
    <w:p>
      <w:pPr>
        <w:spacing w:after="120" w:before="0"/>
      </w:pPr>
      <w:r>
        <w:t>Discovery is the foundation for the Solution Design that follows in Solution Design &amp; Full Business Case (S12). The Discovery output document signed off at the end of this SOW becomes the input to SOW 2.</w:t>
      </w:r>
    </w:p>
    <w:p>
      <w:pPr>
        <w:pStyle w:val="Heading2"/>
        <w:spacing w:after="140" w:before="280"/>
      </w:pPr>
      <w:r>
        <w:rPr>
          <w:b/>
          <w:bCs/>
          <w:color w:val="1F2A44"/>
          <w:sz w:val="26"/>
          <w:szCs w:val="26"/>
        </w:rPr>
        <w:t xml:space="preserve">3.2 In scope</w:t>
      </w:r>
    </w:p>
    <w:p>
      <w:pPr>
        <w:pStyle w:val="ListParagraph"/>
        <w:numPr>
          <w:ilvl w:val="0"/>
          <w:numId w:val="2"/>
        </w:numPr>
        <w:spacing w:after="80"/>
      </w:pPr>
      <w:r>
        <w:rPr>
          <w:sz w:val="22"/>
          <w:szCs w:val="22"/>
        </w:rPr>
        <w:t xml:space="preserve">As-is process mapping across the agreed in-scope process streams, led by Client Process Owners with Supplier facilitation</w:t>
      </w:r>
    </w:p>
    <w:p>
      <w:pPr>
        <w:pStyle w:val="ListParagraph"/>
        <w:numPr>
          <w:ilvl w:val="0"/>
          <w:numId w:val="2"/>
        </w:numPr>
        <w:spacing w:after="80"/>
      </w:pPr>
      <w:r>
        <w:rPr>
          <w:sz w:val="22"/>
          <w:szCs w:val="22"/>
        </w:rPr>
        <w:t>Detailed requirement capture per process stream, building on the requirements baseline produced during Software Selection (S8) software selection</w:t>
      </w:r>
    </w:p>
    <w:p>
      <w:pPr>
        <w:pStyle w:val="ListParagraph"/>
        <w:numPr>
          <w:ilvl w:val="0"/>
          <w:numId w:val="2"/>
        </w:numPr>
        <w:spacing w:after="80"/>
      </w:pPr>
      <w:r>
        <w:rPr>
          <w:sz w:val="22"/>
          <w:szCs w:val="22"/>
        </w:rPr>
        <w:t xml:space="preserve">Fit-gap analysis against the selected target software platform — every requirement classified as fit / gap-workaround / gap-customise / gap-defer</w:t>
      </w:r>
    </w:p>
    <w:p>
      <w:pPr>
        <w:pStyle w:val="ListParagraph"/>
        <w:numPr>
          <w:ilvl w:val="0"/>
          <w:numId w:val="2"/>
        </w:numPr>
        <w:spacing w:after="80"/>
      </w:pPr>
      <w:r>
        <w:rPr>
          <w:sz w:val="22"/>
          <w:szCs w:val="22"/>
        </w:rPr>
        <w:t xml:space="preserve">Data assessment — sources, volumes, data quality scorecard, in-scope object catalogue</w:t>
      </w:r>
    </w:p>
    <w:p>
      <w:pPr>
        <w:pStyle w:val="ListParagraph"/>
        <w:numPr>
          <w:ilvl w:val="0"/>
          <w:numId w:val="2"/>
        </w:numPr>
        <w:spacing w:after="80"/>
      </w:pPr>
      <w:r>
        <w:rPr>
          <w:sz w:val="22"/>
          <w:szCs w:val="22"/>
        </w:rPr>
        <w:t xml:space="preserve">Integration catalogue — upstream and downstream systems, interface inventory, indicative complexity rating</w:t>
      </w:r>
    </w:p>
    <w:p>
      <w:pPr>
        <w:pStyle w:val="ListParagraph"/>
        <w:numPr>
          <w:ilvl w:val="0"/>
          <w:numId w:val="2"/>
        </w:numPr>
        <w:spacing w:after="80"/>
      </w:pPr>
      <w:r>
        <w:rPr>
          <w:sz w:val="22"/>
          <w:szCs w:val="22"/>
        </w:rPr>
        <w:t xml:space="preserve">Initial business process model for the to-be state, expressed at activity level (not yet detailed design)</w:t>
      </w:r>
    </w:p>
    <w:p>
      <w:pPr>
        <w:pStyle w:val="ListParagraph"/>
        <w:numPr>
          <w:ilvl w:val="0"/>
          <w:numId w:val="2"/>
        </w:numPr>
        <w:spacing w:after="80"/>
      </w:pPr>
      <w:r>
        <w:rPr>
          <w:sz w:val="22"/>
          <w:szCs w:val="22"/>
        </w:rPr>
        <w:t xml:space="preserve">Discovery output document — the signed deliverable that closes this SOW</w:t>
      </w:r>
    </w:p>
    <w:p>
      <w:pPr>
        <w:pStyle w:val="Heading2"/>
        <w:spacing w:after="140" w:before="280"/>
      </w:pPr>
      <w:r>
        <w:rPr>
          <w:b/>
          <w:bCs/>
          <w:color w:val="1F2A44"/>
          <w:sz w:val="26"/>
          <w:szCs w:val="26"/>
        </w:rPr>
        <w:t xml:space="preserve">3.3 Out of scope</w:t>
      </w:r>
    </w:p>
    <w:p>
      <w:pPr>
        <w:pStyle w:val="ListParagraph"/>
        <w:numPr>
          <w:ilvl w:val="0"/>
          <w:numId w:val="2"/>
        </w:numPr>
        <w:spacing w:after="80"/>
      </w:pPr>
      <w:r>
        <w:rPr>
          <w:sz w:val="22"/>
          <w:szCs w:val="22"/>
        </w:rPr>
        <w:t xml:space="preserve">Solution design, technical design, integration design, data migration design — covered by SOW 2</w:t>
      </w:r>
    </w:p>
    <w:p>
      <w:pPr>
        <w:pStyle w:val="ListParagraph"/>
        <w:numPr>
          <w:ilvl w:val="0"/>
          <w:numId w:val="2"/>
        </w:numPr>
        <w:spacing w:after="80"/>
      </w:pPr>
      <w:r>
        <w:rPr>
          <w:sz w:val="22"/>
          <w:szCs w:val="22"/>
        </w:rPr>
        <w:t xml:space="preserve">Build, configuration, testing, cutover, deployment, hypercare — covered by SOW 3</w:t>
      </w:r>
    </w:p>
    <w:p>
      <w:pPr>
        <w:pStyle w:val="ListParagraph"/>
        <w:numPr>
          <w:ilvl w:val="0"/>
          <w:numId w:val="2"/>
        </w:numPr>
        <w:spacing w:after="80"/>
      </w:pPr>
      <w:r>
        <w:rPr>
          <w:sz w:val="22"/>
          <w:szCs w:val="22"/>
        </w:rPr>
        <w:t xml:space="preserve">Any work not explicitly listed in section 3.2 above</w:t>
      </w:r>
    </w:p>
    <w:p>
      <w:pPr>
        <w:pStyle w:val="Heading2"/>
        <w:spacing w:after="140" w:before="280"/>
      </w:pPr>
      <w:r>
        <w:rPr>
          <w:b/>
          <w:bCs/>
          <w:color w:val="1F2A44"/>
          <w:sz w:val="26"/>
          <w:szCs w:val="26"/>
        </w:rPr>
        <w:t xml:space="preserve">3.4 Method alignment</w:t>
      </w:r>
    </w:p>
    <w:p>
      <w:pPr>
        <w:spacing w:after="120" w:before="0"/>
      </w:pPr>
      <w:r>
        <w:t xml:space="preserve">This SOW maps to canonical Method Stage 11 (Discovery), 4–6 weeks duration. Activities in this SOW must align with the Method's checkpoint at end of Stage 11 (Discovery Sign-Off).</w:t>
      </w:r>
    </w:p>
    <w:p>
      <w:r>
        <w:br w:type="page"/>
      </w:r>
    </w:p>
    <w:p>
      <w:pPr>
        <w:pStyle w:val="Heading1"/>
        <w:spacing w:after="180" w:before="360"/>
      </w:pPr>
      <w:r>
        <w:rPr>
          <w:b/>
          <w:bCs/>
          <w:color w:val="1F2A44"/>
          <w:sz w:val="32"/>
          <w:szCs w:val="32"/>
        </w:rPr>
        <w:t xml:space="preserve">4. Approach</w:t>
      </w:r>
    </w:p>
    <w:p>
      <w:pPr>
        <w:pStyle w:val="Heading2"/>
        <w:spacing w:after="140" w:before="280"/>
      </w:pPr>
      <w:r>
        <w:rPr>
          <w:b/>
          <w:bCs/>
          <w:color w:val="1F2A44"/>
          <w:sz w:val="26"/>
          <w:szCs w:val="26"/>
        </w:rPr>
        <w:t xml:space="preserve">4.1 Client-led, Supplier-supported</w:t>
      </w:r>
    </w:p>
    <w:p>
      <w:pPr>
        <w:spacing w:after="120" w:before="0"/>
      </w:pPr>
      <w:r>
        <w:t xml:space="preserve">Discovery is Client-led. The Client's Process Owners are accountable for surfacing the real-world processes, including workarounds and undocumented exceptions. The Supplier's role is to facilitate, structure the output, and hold the documented requirements against the target platform.</w:t>
      </w:r>
    </w:p>
    <w:p>
      <w:pPr>
        <w:spacing w:after="120" w:before="0"/>
      </w:pPr>
      <w:r>
        <w:t xml:space="preserve">This split is deliberate. Discovery output produced primarily by the Supplier — without the Client's Process Owners actively driving the content — produces a polished document that misses the operational realities and storeshttps real defects until SIT. The Client must own Discovery; the Supplier supports.</w:t>
      </w:r>
    </w:p>
    <w:p>
      <w:pPr>
        <w:pStyle w:val="Heading2"/>
        <w:spacing w:after="140" w:before="280"/>
      </w:pPr>
      <w:r>
        <w:rPr>
          <w:b/>
          <w:bCs/>
          <w:color w:val="1F2A44"/>
          <w:sz w:val="26"/>
          <w:szCs w:val="26"/>
        </w:rPr>
        <w:t xml:space="preserve">4.2 Discovery activities by week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4500"/>
        <w:gridCol w:w="3326"/>
      </w:tblGrid>
      <w:tr>
        <w:trPr>
          <w:tblHeader/>
        </w:trPr>
        <w:tc>
          <w:tcPr>
            <w:tcW w:type="dxa" w:w="1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Week</w:t>
            </w:r>
          </w:p>
        </w:tc>
        <w:tc>
          <w:tcPr>
            <w:tcW w:type="dxa" w:w="4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Activities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Outputs</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 1</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Mobilisation, Stakeholder Map, Process Owner alignment, finalised Discovery plan, environment access setup</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Plan signed; Process Owners confirmed</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Weeks 2–3</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As-is process mapping workshops by stream. Process Owners walk Supplier through real processes. Documentation of edge cases and exceptions.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As-is process maps; Workaround inventory</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Weeks 3–4</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Requirement capture; data assessment workshops; integration catalogue build</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Detailed requirement set; data quality scorecard; integration catalogue</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Weeks 4–5</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Fit-gap analysis against target platform; classification of each requirement; initial customisation business cases for any gap-customise items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Fit-gap register; customisation candidates</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 5–6</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output document drafting, review with Process Owners, Steering Committee review, formal sign-off</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Signed Discovery output document; SOW 1 closure</w:t>
            </w:r>
          </w:p>
        </w:tc>
      </w:tr>
    </w:tbl>
    <w:p>
      <w:pPr>
        <w:pStyle w:val="Heading1"/>
        <w:spacing w:after="180" w:before="360"/>
      </w:pPr>
      <w:r>
        <w:rPr>
          <w:b/>
          <w:bCs/>
          <w:color w:val="1F2A44"/>
          <w:sz w:val="32"/>
          <w:szCs w:val="32"/>
        </w:rPr>
        <w:t xml:space="preserve">5. Deliverables</w:t>
      </w:r>
    </w:p>
    <w:p>
      <w:pPr>
        <w:pStyle w:val="Heading2"/>
        <w:spacing w:after="140" w:before="280"/>
      </w:pPr>
      <w:r>
        <w:rPr>
          <w:b/>
          <w:bCs/>
          <w:color w:val="1F2A44"/>
          <w:sz w:val="26"/>
          <w:szCs w:val="26"/>
        </w:rPr>
        <w:t xml:space="preserve">5.1 Deliverable list with accountability</w:t>
      </w:r>
    </w:p>
    <w:p>
      <w:pPr>
        <w:spacing w:after="120" w:before="0"/>
      </w:pPr>
      <w:r>
        <w:t xml:space="preserve">Each deliverable is owned by either the Supplier (S), the Client (C), or shared (Sh). Deliverables marked as Client-owned remain the Client's responsibility regardless of Supplier facilitation.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300"/>
        <w:gridCol w:w="4126"/>
        <w:gridCol w:w="1000"/>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Deliverable</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Description</w:t>
            </w:r>
          </w:p>
        </w:tc>
        <w:tc>
          <w:tcPr>
            <w:tcW w:type="dxa" w:w="1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Plan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S11 plan with workshop schedule, Process Owner allocations, environment access list</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As-is process maps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Documented current-state processes for each in-scope stream, in BPMN or equivalent notation</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Workaround and exception inventory</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List of undocumented workarounds, manual exceptions, edge cases identified during workshops</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Requirement set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Detailed business and functional requirements per process stream, traceable to the S8 selection baseline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assessment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Source data inventory, volumes, data quality scorecard, in-scope object catalogue, ownership</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D6</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catalogue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Upstream/downstream systems, interface inventory, frequency, volume, indicative complexity per interface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D7</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Fit-gap register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Each requirement classified as fit / gap-workaround / gap-customise / gap-defer, with rationale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D8</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business case for customisations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For each gap-customise item: cost/benefit analysis, alternative options considered, recommendation</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D9</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To-be process model (activity-level)</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Initial future-state process model — activity level only, not detailed design. Input to S12.</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D10</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output document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Consolidated document combining D1–D9, signed off by Steering Committee. Closes this SOW.</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bl>
    <w:p>
      <w:pPr>
        <w:pStyle w:val="Heading2"/>
        <w:spacing w:after="140" w:before="280"/>
      </w:pPr>
      <w:r>
        <w:rPr>
          <w:b/>
          <w:bCs/>
          <w:color w:val="1F2A44"/>
          <w:sz w:val="26"/>
          <w:szCs w:val="26"/>
        </w:rPr>
        <w:t xml:space="preserve">5.2 Acceptance criteria for the Discovery output document</w:t>
      </w:r>
    </w:p>
    <w:p>
      <w:pPr>
        <w:pStyle w:val="ListParagraph"/>
        <w:numPr>
          <w:ilvl w:val="0"/>
          <w:numId w:val="2"/>
        </w:numPr>
        <w:spacing w:after="80"/>
      </w:pPr>
      <w:r>
        <w:rPr>
          <w:sz w:val="22"/>
          <w:szCs w:val="22"/>
        </w:rPr>
        <w:t xml:space="preserve">Every in-scope process stream has documented as-is process maps, signed by the relevant Process Owner</w:t>
      </w:r>
    </w:p>
    <w:p>
      <w:pPr>
        <w:pStyle w:val="ListParagraph"/>
        <w:numPr>
          <w:ilvl w:val="0"/>
          <w:numId w:val="2"/>
        </w:numPr>
        <w:spacing w:after="80"/>
      </w:pPr>
      <w:r>
        <w:rPr>
          <w:sz w:val="22"/>
          <w:szCs w:val="22"/>
        </w:rPr>
        <w:t xml:space="preserve">Workaround and exception inventory captured for each process stream</w:t>
      </w:r>
    </w:p>
    <w:p>
      <w:pPr>
        <w:pStyle w:val="ListParagraph"/>
        <w:numPr>
          <w:ilvl w:val="0"/>
          <w:numId w:val="2"/>
        </w:numPr>
        <w:spacing w:after="80"/>
      </w:pPr>
      <w:r>
        <w:rPr>
          <w:sz w:val="22"/>
          <w:szCs w:val="22"/>
        </w:rPr>
        <w:t xml:space="preserve">Every requirement classified in the fit-gap register, with no items at status "undecided"</w:t>
      </w:r>
    </w:p>
    <w:p>
      <w:pPr>
        <w:pStyle w:val="ListParagraph"/>
        <w:numPr>
          <w:ilvl w:val="0"/>
          <w:numId w:val="2"/>
        </w:numPr>
        <w:spacing w:after="80"/>
      </w:pPr>
      <w:r>
        <w:rPr>
          <w:sz w:val="22"/>
          <w:szCs w:val="22"/>
        </w:rPr>
        <w:t xml:space="preserve">Data assessment covers all in-scope objects, with quality scorecard for each</w:t>
      </w:r>
    </w:p>
    <w:p>
      <w:pPr>
        <w:pStyle w:val="ListParagraph"/>
        <w:numPr>
          <w:ilvl w:val="0"/>
          <w:numId w:val="2"/>
        </w:numPr>
        <w:spacing w:after="80"/>
      </w:pPr>
      <w:r>
        <w:rPr>
          <w:sz w:val="22"/>
          <w:szCs w:val="22"/>
        </w:rPr>
        <w:t xml:space="preserve">Integration catalogue lists all in-scope interfaces with indicative complexity rating</w:t>
      </w:r>
    </w:p>
    <w:p>
      <w:pPr>
        <w:pStyle w:val="ListParagraph"/>
        <w:numPr>
          <w:ilvl w:val="0"/>
          <w:numId w:val="2"/>
        </w:numPr>
        <w:spacing w:after="80"/>
      </w:pPr>
      <w:r>
        <w:rPr>
          <w:sz w:val="22"/>
          <w:szCs w:val="22"/>
        </w:rPr>
        <w:t xml:space="preserve">Customisation business cases drafted for each gap-customise item</w:t>
      </w:r>
    </w:p>
    <w:p>
      <w:pPr>
        <w:pStyle w:val="ListParagraph"/>
        <w:numPr>
          <w:ilvl w:val="0"/>
          <w:numId w:val="2"/>
        </w:numPr>
        <w:spacing w:after="80"/>
      </w:pPr>
      <w:r>
        <w:rPr>
          <w:sz w:val="22"/>
          <w:szCs w:val="22"/>
        </w:rPr>
        <w:t xml:space="preserve">Discovery output document reviewed and signed by Steering Committee</w:t>
      </w:r>
    </w:p>
    <w:p>
      <w:r>
        <w:br w:type="page"/>
      </w:r>
    </w:p>
    <w:p>
      <w:pPr>
        <w:pStyle w:val="Heading1"/>
        <w:spacing w:after="180" w:before="360"/>
      </w:pPr>
      <w:r>
        <w:rPr>
          <w:b/>
          <w:bCs/>
          <w:color w:val="1F2A44"/>
          <w:sz w:val="32"/>
          <w:szCs w:val="32"/>
        </w:rPr>
        <w:t xml:space="preserve">6. RACI</w:t>
      </w:r>
    </w:p>
    <w:p>
      <w:pPr>
        <w:spacing w:after="120" w:before="0"/>
      </w:pPr>
      <w:r>
        <w:t xml:space="preserve">Detailed RACI for the Discovery activities. R = Responsible (does the work), A = Accountable (signs off), C = Consulted, I = Informed.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800"/>
        <w:gridCol w:w="800"/>
        <w:gridCol w:w="800"/>
        <w:gridCol w:w="800"/>
        <w:gridCol w:w="800"/>
        <w:gridCol w:w="1526"/>
      </w:tblGrid>
      <w:tr>
        <w:trPr>
          <w:tblHeader/>
        </w:trPr>
        <w:tc>
          <w:tcPr>
            <w:tcW w:type="dxa" w:w="3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Activity</w:t>
            </w:r>
          </w:p>
        </w:tc>
        <w:tc>
          <w:tcPr>
            <w:tcW w:type="dxa" w:w="8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Sponsor</w:t>
            </w:r>
          </w:p>
        </w:tc>
        <w:tc>
          <w:tcPr>
            <w:tcW w:type="dxa" w:w="8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PM (C)</w:t>
            </w:r>
          </w:p>
        </w:tc>
        <w:tc>
          <w:tcPr>
            <w:tcW w:type="dxa" w:w="8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PO/SME</w:t>
            </w:r>
          </w:p>
        </w:tc>
        <w:tc>
          <w:tcPr>
            <w:tcW w:type="dxa" w:w="8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BA</w:t>
            </w:r>
          </w:p>
        </w:tc>
        <w:tc>
          <w:tcPr>
            <w:tcW w:type="dxa" w:w="8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PM (S)</w:t>
            </w:r>
          </w:p>
        </w:tc>
        <w:tc>
          <w:tcPr>
            <w:tcW w:type="dxa" w:w="15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SI Functional</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Confirm Discovery plan</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Run as-is process workshops</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Document as-is process maps</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Capture workarounds and exceptions</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Detail requirement capture</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assessment</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catalogue build</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Fit-gap analysis</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Customisation business cases</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output document drafting</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sign-off</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bl>
    <w:p>
      <w:pPr>
        <w:spacing w:after="120" w:before="0"/>
      </w:pPr>
      <w:r>
        <w:t xml:space="preserve">Legend: PM (C) = Client Programme Manager. PM (S) = Supplier Programme Manager / Engagement Manager. PO/SME = Process Owner / Subject Matter Expert. BA = Business Analyst (Client-side or shared). SI Functional = Supplier Functional Lead.</w:t>
      </w:r>
    </w:p>
    <w:p>
      <w:pPr>
        <w:pStyle w:val="Heading1"/>
        <w:spacing w:after="180" w:before="360"/>
      </w:pPr>
      <w:r>
        <w:rPr>
          <w:b/>
          <w:bCs/>
          <w:color w:val="1F2A44"/>
          <w:sz w:val="32"/>
          <w:szCs w:val="32"/>
        </w:rPr>
        <w:t xml:space="preserve">7. Pricing</w:t>
      </w:r>
    </w:p>
    <w:p>
      <w:pPr>
        <w:pStyle w:val="Heading2"/>
        <w:spacing w:after="140" w:before="280"/>
      </w:pPr>
      <w:r>
        <w:rPr>
          <w:b/>
          <w:bCs/>
          <w:color w:val="1F2A44"/>
          <w:sz w:val="26"/>
          <w:szCs w:val="26"/>
        </w:rPr>
        <w:t xml:space="preserve">7.1 Pricing model</w:t>
      </w:r>
    </w:p>
    <w:p>
      <w:pPr>
        <w:spacing w:after="120" w:before="0"/>
      </w:pPr>
      <w:r>
        <w:t xml:space="preserve">Time and Materials with effort cap. Effort estimated at the rate card defined in the MSA. The cap may not be exceeded without a signed Change Request.</w:t>
      </w:r>
    </w:p>
    <w:p>
      <w:pPr>
        <w:pStyle w:val="Heading2"/>
        <w:spacing w:after="140" w:before="280"/>
      </w:pPr>
      <w:r>
        <w:rPr>
          <w:b/>
          <w:bCs/>
          <w:color w:val="1F2A44"/>
          <w:sz w:val="26"/>
          <w:szCs w:val="26"/>
        </w:rPr>
        <w:t xml:space="preserve">7.2 Effort cap and milestones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300"/>
        <w:gridCol w:w="2000"/>
        <w:gridCol w:w="2000"/>
        <w:gridCol w:w="1726"/>
      </w:tblGrid>
      <w:tr>
        <w:trPr>
          <w:tblHeader/>
        </w:trPr>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Milestone</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Effort (man-days)</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Trigger</w:t>
            </w:r>
          </w:p>
        </w:tc>
        <w:tc>
          <w:tcPr>
            <w:tcW w:type="dxa" w:w="17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 Total</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Mobilisation complete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Plan signed</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As-is mapping complete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As-is maps signed by Process Owners</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30%</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Fit-gap analysis complete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Fit-gap register signed</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30%</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sign-off</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Discovery output document signed by Steering</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30%</w:t>
            </w:r>
          </w:p>
        </w:tc>
      </w:tr>
      <w:tr>
        <w:tc>
          <w:tcPr>
            <w:tcW w:type="dxa" w:w="33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TOTAL EFFORT CAP</w:t>
            </w:r>
          </w:p>
        </w:tc>
        <w:tc>
          <w:tcPr>
            <w:tcW w:type="dxa" w:w="20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[X]</w:t>
            </w:r>
          </w:p>
        </w:tc>
        <w:tc>
          <w:tcPr>
            <w:tcW w:type="dxa" w:w="20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sz w:val="20"/>
                <w:szCs w:val="20"/>
              </w:rPr>
              <w:t xml:space="preserve">—</w:t>
            </w:r>
          </w:p>
        </w:tc>
        <w:tc>
          <w:tcPr>
            <w:tcW w:type="dxa" w:w="1726"/>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100%</w:t>
            </w:r>
          </w:p>
        </w:tc>
      </w:tr>
    </w:tbl>
    <w:p>
      <w:pPr>
        <w:pStyle w:val="Heading2"/>
        <w:spacing w:after="140" w:before="280"/>
      </w:pPr>
      <w:r>
        <w:rPr>
          <w:b/>
          <w:bCs/>
          <w:color w:val="1F2A44"/>
          <w:sz w:val="26"/>
          <w:szCs w:val="26"/>
        </w:rPr>
        <w:t xml:space="preserve">7.3 Excluded costs</w:t>
      </w:r>
    </w:p>
    <w:p>
      <w:pPr>
        <w:pStyle w:val="ListParagraph"/>
        <w:numPr>
          <w:ilvl w:val="0"/>
          <w:numId w:val="2"/>
        </w:numPr>
        <w:spacing w:after="80"/>
      </w:pPr>
      <w:r>
        <w:rPr>
          <w:sz w:val="22"/>
          <w:szCs w:val="22"/>
        </w:rPr>
        <w:t xml:space="preserve">Travel, accommodation, subsistence — chargeable per the Expenses Policy in the MSA, with monthly cap of [£X] without prior approval</w:t>
      </w:r>
    </w:p>
    <w:p>
      <w:pPr>
        <w:pStyle w:val="ListParagraph"/>
        <w:numPr>
          <w:ilvl w:val="0"/>
          <w:numId w:val="2"/>
        </w:numPr>
        <w:spacing w:after="80"/>
      </w:pPr>
      <w:r>
        <w:rPr>
          <w:sz w:val="22"/>
          <w:szCs w:val="22"/>
        </w:rPr>
        <w:t xml:space="preserve">Third-party software licences for Discovery tooling — provided by Client unless otherwise agreed</w:t>
      </w:r>
    </w:p>
    <w:p>
      <w:r>
        <w:br w:type="page"/>
      </w:r>
    </w:p>
    <w:p>
      <w:pPr>
        <w:pStyle w:val="Heading1"/>
        <w:spacing w:after="180" w:before="360"/>
      </w:pPr>
      <w:r>
        <w:rPr>
          <w:b/>
          <w:bCs/>
          <w:color w:val="1F2A44"/>
          <w:sz w:val="32"/>
          <w:szCs w:val="32"/>
        </w:rPr>
        <w:t xml:space="preserve">8. Change Control</w:t>
      </w:r>
    </w:p>
    <w:p>
      <w:pPr>
        <w:spacing w:after="120" w:before="0"/>
      </w:pPr>
      <w:r>
        <w:t xml:space="preserve">Change Control follows the standard mechanism set out in the SOW Suite Overview document. Summary:</w:t>
      </w:r>
    </w:p>
    <w:p>
      <w:pPr>
        <w:pStyle w:val="ListParagraph"/>
        <w:numPr>
          <w:ilvl w:val="0"/>
          <w:numId w:val="2"/>
        </w:numPr>
        <w:spacing w:after="80"/>
      </w:pPr>
      <w:r>
        <w:rPr>
          <w:sz w:val="22"/>
          <w:szCs w:val="22"/>
        </w:rPr>
        <w:t xml:space="preserve">Change Request acknowledged within 2 business days</w:t>
      </w:r>
    </w:p>
    <w:p>
      <w:pPr>
        <w:pStyle w:val="ListParagraph"/>
        <w:numPr>
          <w:ilvl w:val="0"/>
          <w:numId w:val="2"/>
        </w:numPr>
        <w:spacing w:after="80"/>
      </w:pPr>
      <w:r>
        <w:rPr>
          <w:sz w:val="22"/>
          <w:szCs w:val="22"/>
        </w:rPr>
        <w:t xml:space="preserve">Impact assessment within 5 business days for changes under [N] man-days, 10 business days for larger</w:t>
      </w:r>
    </w:p>
    <w:p>
      <w:pPr>
        <w:pStyle w:val="ListParagraph"/>
        <w:numPr>
          <w:ilvl w:val="0"/>
          <w:numId w:val="2"/>
        </w:numPr>
        <w:spacing w:after="80"/>
      </w:pPr>
      <w:r>
        <w:rPr>
          <w:sz w:val="22"/>
          <w:szCs w:val="22"/>
        </w:rPr>
        <w:t xml:space="preserve">Change Authority Board sits weekly; standing membership Client PM, Supplier Engagement Manager, Client Finance lead</w:t>
      </w:r>
    </w:p>
    <w:p>
      <w:pPr>
        <w:pStyle w:val="ListParagraph"/>
        <w:numPr>
          <w:ilvl w:val="0"/>
          <w:numId w:val="2"/>
        </w:numPr>
        <w:spacing w:after="80"/>
      </w:pPr>
      <w:r>
        <w:rPr>
          <w:sz w:val="22"/>
          <w:szCs w:val="22"/>
        </w:rPr>
        <w:t xml:space="preserve">No work commences on a Change Request before written Client approval</w:t>
      </w:r>
    </w:p>
    <w:p>
      <w:pPr>
        <w:pStyle w:val="ListParagraph"/>
        <w:numPr>
          <w:ilvl w:val="0"/>
          <w:numId w:val="2"/>
        </w:numPr>
        <w:spacing w:after="80"/>
      </w:pPr>
      <w:r>
        <w:rPr>
          <w:sz w:val="22"/>
          <w:szCs w:val="22"/>
        </w:rPr>
        <w:t xml:space="preserve">Changes affecting cost, scope or timeline require Sponsor approval</w:t>
      </w:r>
    </w:p>
    <w:p>
      <w:pPr>
        <w:pStyle w:val="ListParagraph"/>
        <w:numPr>
          <w:ilvl w:val="0"/>
          <w:numId w:val="2"/>
        </w:numPr>
        <w:spacing w:after="80"/>
      </w:pPr>
      <w:r>
        <w:rPr>
          <w:sz w:val="22"/>
          <w:szCs w:val="22"/>
        </w:rPr>
        <w:t xml:space="preserve">Disputes escalate to Steering Committee, then Executive Sponsor Group, then dispute resolution under the MSA</w:t>
      </w:r>
    </w:p>
    <w:p>
      <w:pPr>
        <w:pStyle w:val="Heading1"/>
        <w:spacing w:after="180" w:before="360"/>
      </w:pPr>
      <w:r>
        <w:rPr>
          <w:b/>
          <w:bCs/>
          <w:color w:val="1F2A44"/>
          <w:sz w:val="32"/>
          <w:szCs w:val="32"/>
        </w:rPr>
        <w:t xml:space="preserve">9. Acceptance and Sign-off</w:t>
      </w:r>
    </w:p>
    <w:p>
      <w:pPr>
        <w:pStyle w:val="Heading2"/>
        <w:spacing w:after="140" w:before="280"/>
      </w:pPr>
      <w:r>
        <w:rPr>
          <w:b/>
          <w:bCs/>
          <w:color w:val="1F2A44"/>
          <w:sz w:val="26"/>
          <w:szCs w:val="26"/>
        </w:rPr>
        <w:t xml:space="preserve">9.1 Per-deliverable acceptance</w:t>
      </w:r>
    </w:p>
    <w:p>
      <w:pPr>
        <w:spacing w:after="120" w:before="0"/>
      </w:pPr>
      <w:r>
        <w:t xml:space="preserve">Each deliverable is submitted to the Client for review against acceptance criteria. The Client has [10] business days to review and either accept the deliverable or return it with documented reasons for non-acceptance. Where non-acceptance is raised, the Supplier remediates at no additional charge and resubmits within [10] business days.</w:t>
      </w:r>
    </w:p>
    <w:p>
      <w:pPr>
        <w:pStyle w:val="Heading2"/>
        <w:spacing w:after="140" w:before="280"/>
      </w:pPr>
      <w:r>
        <w:rPr>
          <w:b/>
          <w:bCs/>
          <w:color w:val="1F2A44"/>
          <w:sz w:val="26"/>
          <w:szCs w:val="26"/>
        </w:rPr>
        <w:t xml:space="preserve">9.2 SOW closure</w:t>
      </w:r>
    </w:p>
    <w:p>
      <w:pPr>
        <w:spacing w:after="120" w:before="0"/>
      </w:pPr>
      <w:r>
        <w:t xml:space="preserve">This SOW closes when:</w:t>
      </w:r>
    </w:p>
    <w:p>
      <w:pPr>
        <w:pStyle w:val="ListParagraph"/>
        <w:numPr>
          <w:ilvl w:val="0"/>
          <w:numId w:val="2"/>
        </w:numPr>
        <w:spacing w:after="80"/>
      </w:pPr>
      <w:r>
        <w:rPr>
          <w:sz w:val="22"/>
          <w:szCs w:val="22"/>
        </w:rPr>
        <w:t xml:space="preserve">All deliverables D1 to D10 have been accepted by the Client</w:t>
      </w:r>
    </w:p>
    <w:p>
      <w:pPr>
        <w:pStyle w:val="ListParagraph"/>
        <w:numPr>
          <w:ilvl w:val="0"/>
          <w:numId w:val="2"/>
        </w:numPr>
        <w:spacing w:after="80"/>
      </w:pPr>
      <w:r>
        <w:rPr>
          <w:sz w:val="22"/>
          <w:szCs w:val="22"/>
        </w:rPr>
        <w:t xml:space="preserve">The Discovery output document has been signed by the Steering Committee</w:t>
      </w:r>
    </w:p>
    <w:p>
      <w:pPr>
        <w:pStyle w:val="ListParagraph"/>
        <w:numPr>
          <w:ilvl w:val="0"/>
          <w:numId w:val="2"/>
        </w:numPr>
        <w:spacing w:after="80"/>
      </w:pPr>
      <w:r>
        <w:rPr>
          <w:sz w:val="22"/>
          <w:szCs w:val="22"/>
        </w:rPr>
        <w:t xml:space="preserve">Final invoice has been raised and the Client confirms payment terms</w:t>
      </w:r>
    </w:p>
    <w:p>
      <w:pPr>
        <w:pStyle w:val="Heading1"/>
        <w:spacing w:after="180" w:before="360"/>
      </w:pPr>
      <w:r>
        <w:rPr>
          <w:b/>
          <w:bCs/>
          <w:color w:val="1F2A44"/>
          <w:sz w:val="32"/>
          <w:szCs w:val="32"/>
        </w:rPr>
        <w:t xml:space="preserve">10. Off-ramp at SOW Closure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2A44" w:sz="4"/>
              <w:left w:val="single" w:color="1F2A44" w:sz="24"/>
              <w:bottom w:val="single" w:color="1F2A44" w:sz="4"/>
              <w:right w:val="single" w:color="1F2A44" w:sz="4"/>
            </w:tcBorders>
            <w:shd w:fill="F4F6FA" w:val="clear"/>
            <w:tcMar>
              <w:top w:type="dxa" w:w="200"/>
              <w:left w:type="dxa" w:w="240"/>
              <w:bottom w:type="dxa" w:w="200"/>
              <w:right w:type="dxa" w:w="240"/>
            </w:tcMar>
          </w:tcPr>
          <w:p>
            <w:pPr>
              <w:spacing w:after="120"/>
            </w:pPr>
            <w:r>
              <w:rPr>
                <w:b/>
                <w:bCs/>
                <w:color w:val="1F2A44"/>
                <w:sz w:val="18"/>
                <w:szCs w:val="18"/>
              </w:rPr>
              <w:t xml:space="preserve">CLIENT RIGHT NOT TO PROCEED</w:t>
            </w:r>
          </w:p>
          <w:p>
            <w:r>
              <w:rPr>
                <w:sz w:val="22"/>
                <w:szCs w:val="22"/>
              </w:rPr>
              <w:t xml:space="preserve">On closure of this SOW, the Client retains the absolute right not to sign SOW 2 (Design). The grounds may include — but are not limited to — Discovery surfacing fundamental scope issues, business case re-evaluation, change of strategic direction, or commercial concerns. Where the Client elects not to proceed: SOW 1 closes normally; the Client retains all Foreground IP produced under this SOW; the Supplier hands over all in-progress materials within 10 business days; and the Supplier may not charge wind-down costs over and above the milestones invoiced. The MSA remains in place unless separately terminated.</w:t>
            </w:r>
          </w:p>
        </w:tc>
      </w:tr>
    </w:tbl>
    <w:p>
      <w:pPr>
        <w:pStyle w:val="Heading1"/>
        <w:spacing w:after="180" w:before="360"/>
      </w:pPr>
      <w:r>
        <w:rPr>
          <w:b/>
          <w:bCs/>
          <w:color w:val="1F2A44"/>
          <w:sz w:val="32"/>
          <w:szCs w:val="32"/>
        </w:rPr>
        <w:t xml:space="preserve">11. Risks, Constraints and Assumptions</w:t>
      </w:r>
    </w:p>
    <w:p>
      <w:pPr>
        <w:pStyle w:val="Heading2"/>
        <w:spacing w:after="140" w:before="280"/>
      </w:pPr>
      <w:r>
        <w:rPr>
          <w:b/>
          <w:bCs/>
          <w:color w:val="1F2A44"/>
          <w:sz w:val="26"/>
          <w:szCs w:val="26"/>
        </w:rPr>
        <w:t xml:space="preserve">11.1 Risks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500"/>
        <w:gridCol w:w="2500"/>
        <w:gridCol w:w="2426"/>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Risk</w:t>
            </w:r>
          </w:p>
        </w:tc>
        <w:tc>
          <w:tcPr>
            <w:tcW w:type="dxa" w:w="2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c>
          <w:tcPr>
            <w:tcW w:type="dxa" w:w="24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Mitigation</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R1</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Process Owners not available for workshops</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Confirm availability before SOW signature; cap workshop slots at agreed dates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R2</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As-is processes more complex than expected, exceeding effort cap</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Shared</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Re-baseline at midpoint review; raise CR if cap will be breached</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R3</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Workaround inventory not surfaced — Process Owners present "as designed" not "as actual"</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PM and BA actively probe for exceptions; review live transactions to validate</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R4</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quality worse than indicated, surfacing additional remediation work</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Shared</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quality scorecard runs early in Discovery; remediation captured for SOW 2 scope</w:t>
            </w:r>
          </w:p>
        </w:tc>
      </w:tr>
    </w:tbl>
    <w:p>
      <w:pPr>
        <w:pStyle w:val="Heading2"/>
        <w:spacing w:after="140" w:before="280"/>
      </w:pPr>
      <w:r>
        <w:rPr>
          <w:b/>
          <w:bCs/>
          <w:color w:val="1F2A44"/>
          <w:sz w:val="26"/>
          <w:szCs w:val="26"/>
        </w:rPr>
        <w:t xml:space="preserve">11.2 Assumptions</w:t>
      </w:r>
    </w:p>
    <w:p>
      <w:pPr>
        <w:pStyle w:val="ListParagraph"/>
        <w:numPr>
          <w:ilvl w:val="0"/>
          <w:numId w:val="2"/>
        </w:numPr>
        <w:spacing w:after="80"/>
      </w:pPr>
      <w:r>
        <w:rPr>
          <w:sz w:val="22"/>
          <w:szCs w:val="22"/>
        </w:rPr>
        <w:t xml:space="preserve">Process Owners are named and confirmed before SOW signature</w:t>
      </w:r>
    </w:p>
    <w:p>
      <w:pPr>
        <w:pStyle w:val="ListParagraph"/>
        <w:numPr>
          <w:ilvl w:val="0"/>
          <w:numId w:val="2"/>
        </w:numPr>
        <w:spacing w:after="80"/>
      </w:pPr>
      <w:r>
        <w:rPr>
          <w:sz w:val="22"/>
          <w:szCs w:val="22"/>
        </w:rPr>
        <w:t xml:space="preserve">Client provides access to live source systems for read-only review during data assessment</w:t>
      </w:r>
    </w:p>
    <w:p>
      <w:pPr>
        <w:pStyle w:val="ListParagraph"/>
        <w:numPr>
          <w:ilvl w:val="0"/>
          <w:numId w:val="2"/>
        </w:numPr>
        <w:spacing w:after="80"/>
      </w:pPr>
      <w:r>
        <w:rPr>
          <w:sz w:val="22"/>
          <w:szCs w:val="22"/>
        </w:rPr>
        <w:t xml:space="preserve">Workshops conducted at Client premises or jointly agreed location; Supplier travel costs covered per Expenses Policy</w:t>
      </w:r>
    </w:p>
    <w:p>
      <w:pPr>
        <w:pStyle w:val="ListParagraph"/>
        <w:numPr>
          <w:ilvl w:val="0"/>
          <w:numId w:val="2"/>
        </w:numPr>
        <w:spacing w:after="80"/>
      </w:pPr>
      <w:r>
        <w:rPr>
          <w:sz w:val="22"/>
          <w:szCs w:val="22"/>
        </w:rPr>
        <w:t xml:space="preserve">Discovery focuses on the in-scope process streams agreed in section 3.2; out-of-scope streams may be added via Change Request</w:t>
      </w:r>
    </w:p>
    <w:p>
      <w:pPr>
        <w:pStyle w:val="Heading2"/>
        <w:spacing w:after="140" w:before="280"/>
      </w:pPr>
      <w:r>
        <w:rPr>
          <w:b/>
          <w:bCs/>
          <w:color w:val="1F2A44"/>
          <w:sz w:val="26"/>
          <w:szCs w:val="26"/>
        </w:rPr>
        <w:t xml:space="preserve">11.3 Constraints</w:t>
      </w:r>
    </w:p>
    <w:p>
      <w:pPr>
        <w:pStyle w:val="ListParagraph"/>
        <w:numPr>
          <w:ilvl w:val="0"/>
          <w:numId w:val="2"/>
        </w:numPr>
        <w:spacing w:after="80"/>
      </w:pPr>
      <w:r>
        <w:rPr>
          <w:sz w:val="22"/>
          <w:szCs w:val="22"/>
        </w:rPr>
        <w:t xml:space="preserve">Discovery duration capped at 6 weeks elapsed time</w:t>
      </w:r>
    </w:p>
    <w:p>
      <w:pPr>
        <w:pStyle w:val="ListParagraph"/>
        <w:numPr>
          <w:ilvl w:val="0"/>
          <w:numId w:val="2"/>
        </w:numPr>
        <w:spacing w:after="80"/>
      </w:pPr>
      <w:r>
        <w:rPr>
          <w:sz w:val="22"/>
          <w:szCs w:val="22"/>
        </w:rPr>
        <w:t xml:space="preserve">Maximum 5 concurrent workshops to avoid Process Owner conflicts</w:t>
      </w:r>
    </w:p>
    <w:p>
      <w:pPr>
        <w:pStyle w:val="ListParagraph"/>
        <w:numPr>
          <w:ilvl w:val="0"/>
          <w:numId w:val="2"/>
        </w:numPr>
        <w:spacing w:after="80"/>
      </w:pPr>
      <w:r>
        <w:rPr>
          <w:sz w:val="22"/>
          <w:szCs w:val="22"/>
        </w:rPr>
        <w:t xml:space="preserve">All deliverables produced in English; translation into other languages out of scope</w:t>
      </w:r>
    </w:p>
    <w:p>
      <w:pPr>
        <w:pStyle w:val="Heading1"/>
        <w:spacing w:after="180" w:before="360"/>
      </w:pPr>
      <w:r>
        <w:rPr>
          <w:b/>
          <w:bCs/>
          <w:color w:val="1F2A44"/>
          <w:sz w:val="32"/>
          <w:szCs w:val="32"/>
        </w:rPr>
        <w:t xml:space="preserve">12. Termination</w:t>
      </w:r>
    </w:p>
    <w:p>
      <w:pPr>
        <w:spacing w:after="120" w:before="0"/>
      </w:pPr>
      <w:r>
        <w:t xml:space="preserve">Termination follows the mechanism in the MSA. In summary:</w:t>
      </w:r>
    </w:p>
    <w:p>
      <w:pPr>
        <w:pStyle w:val="ListParagraph"/>
        <w:numPr>
          <w:ilvl w:val="0"/>
          <w:numId w:val="2"/>
        </w:numPr>
        <w:spacing w:after="80"/>
      </w:pPr>
      <w:r>
        <w:rPr>
          <w:sz w:val="22"/>
          <w:szCs w:val="22"/>
        </w:rPr>
        <w:t xml:space="preserve">Either party may terminate this SOW for Material Breach by the other, following the cure period defined in the MSA</w:t>
      </w:r>
    </w:p>
    <w:p>
      <w:pPr>
        <w:pStyle w:val="ListParagraph"/>
        <w:numPr>
          <w:ilvl w:val="0"/>
          <w:numId w:val="2"/>
        </w:numPr>
        <w:spacing w:after="80"/>
      </w:pPr>
      <w:r>
        <w:rPr>
          <w:sz w:val="22"/>
          <w:szCs w:val="22"/>
        </w:rPr>
        <w:t xml:space="preserve">The Client may terminate this SOW for convenience with 30 calendar days' written notice. On termination for convenience, the Supplier is paid for milestones delivered and accepted up to the date of termination, plus reasonable wind-down costs as agreed in writing</w:t>
      </w:r>
    </w:p>
    <w:p>
      <w:pPr>
        <w:pStyle w:val="ListParagraph"/>
        <w:numPr>
          <w:ilvl w:val="0"/>
          <w:numId w:val="2"/>
        </w:numPr>
        <w:spacing w:after="80"/>
      </w:pPr>
      <w:r>
        <w:rPr>
          <w:sz w:val="22"/>
          <w:szCs w:val="22"/>
        </w:rPr>
        <w:t xml:space="preserve">On any termination the Supplier hands over all Foreground IP, in-progress work, knowledge transfer materials and Client data within 10 business days at no additional charge</w:t>
      </w:r>
    </w:p>
    <w:p>
      <w:pPr>
        <w:pStyle w:val="Heading1"/>
        <w:spacing w:after="180" w:before="360"/>
      </w:pPr>
      <w:r>
        <w:rPr>
          <w:b/>
          <w:bCs/>
          <w:color w:val="1F2A44"/>
          <w:sz w:val="32"/>
          <w:szCs w:val="32"/>
        </w:rPr>
        <w:t xml:space="preserve">13. Knowledge Transfer</w:t>
      </w:r>
    </w:p>
    <w:p>
      <w:pPr>
        <w:spacing w:after="120" w:before="0"/>
      </w:pPr>
      <w:r>
        <w:t xml:space="preserve">Even at this early stage, knowledge transfer obligations apply:</w:t>
      </w:r>
    </w:p>
    <w:p>
      <w:pPr>
        <w:pStyle w:val="ListParagraph"/>
        <w:numPr>
          <w:ilvl w:val="0"/>
          <w:numId w:val="2"/>
        </w:numPr>
        <w:spacing w:after="80"/>
      </w:pPr>
      <w:r>
        <w:rPr>
          <w:sz w:val="22"/>
          <w:szCs w:val="22"/>
        </w:rPr>
        <w:t xml:space="preserve">All Discovery output materials become Client property on creation (per MSA Foreground IP clause)</w:t>
      </w:r>
    </w:p>
    <w:p>
      <w:pPr>
        <w:pStyle w:val="ListParagraph"/>
        <w:numPr>
          <w:ilvl w:val="0"/>
          <w:numId w:val="2"/>
        </w:numPr>
        <w:spacing w:after="80"/>
      </w:pPr>
      <w:r>
        <w:rPr>
          <w:sz w:val="22"/>
          <w:szCs w:val="22"/>
        </w:rPr>
        <w:t xml:space="preserve">Supplier retains no copies of Client-confidential information beyond the engagement, except as required for the Supplier's professional records</w:t>
      </w:r>
    </w:p>
    <w:p>
      <w:pPr>
        <w:pStyle w:val="ListParagraph"/>
        <w:numPr>
          <w:ilvl w:val="0"/>
          <w:numId w:val="2"/>
        </w:numPr>
        <w:spacing w:after="80"/>
      </w:pPr>
      <w:r>
        <w:rPr>
          <w:sz w:val="22"/>
          <w:szCs w:val="22"/>
        </w:rPr>
        <w:t xml:space="preserve">All workshop outputs, raw notes, recordings and supporting materials handed over to the Client at SOW closure</w:t>
      </w:r>
    </w:p>
    <w:p>
      <w:pPr>
        <w:pStyle w:val="Heading1"/>
        <w:spacing w:after="180" w:before="360"/>
      </w:pPr>
      <w:r>
        <w:rPr>
          <w:b/>
          <w:bCs/>
          <w:color w:val="1F2A44"/>
          <w:sz w:val="32"/>
          <w:szCs w:val="32"/>
        </w:rPr>
        <w:t xml:space="preserve">14. Signatures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Signed for and on behalf of Client</w:t>
            </w:r>
          </w:p>
        </w:tc>
        <w:tc>
          <w:tcPr>
            <w:tcW w:type="dxa" w:w="45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Signed for and on behalf of Supplier</w:t>
            </w:r>
          </w:p>
        </w:tc>
      </w:tr>
      <w:tr>
        <w:tc>
          <w:tcPr>
            <w:tcW w:type="dxa" w:w="451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60" w:before="240"/>
            </w:pPr>
            <w:r>
              <w:t xml:space="preserve">Name: ___________________________</w:t>
            </w:r>
          </w:p>
          <w:p>
            <w:pPr>
              <w:spacing w:after="60"/>
            </w:pPr>
            <w:r>
              <w:t xml:space="preserve">Title: ___________________________</w:t>
            </w:r>
          </w:p>
          <w:p>
            <w:pPr>
              <w:spacing w:after="60"/>
            </w:pPr>
            <w:r>
              <w:t xml:space="preserve">Signature: _______________________</w:t>
            </w:r>
          </w:p>
          <w:p>
            <w:pPr>
              <w:spacing w:after="240"/>
            </w:pPr>
            <w:r>
              <w:t xml:space="preserve">Date: ___________________________</w:t>
            </w:r>
          </w:p>
        </w:tc>
        <w:tc>
          <w:tcPr>
            <w:tcW w:type="dxa" w:w="451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60" w:before="240"/>
            </w:pPr>
            <w:r>
              <w:t xml:space="preserve">Name: ___________________________</w:t>
            </w:r>
          </w:p>
          <w:p>
            <w:pPr>
              <w:spacing w:after="60"/>
            </w:pPr>
            <w:r>
              <w:t xml:space="preserve">Title: ___________________________</w:t>
            </w:r>
          </w:p>
          <w:p>
            <w:pPr>
              <w:spacing w:after="60"/>
            </w:pPr>
            <w:r>
              <w:t xml:space="preserve">Signature: _______________________</w:t>
            </w:r>
          </w:p>
          <w:p>
            <w:pPr>
              <w:spacing w:after="240"/>
            </w:pPr>
            <w:r>
              <w:t xml:space="preserve">Date: ___________________________</w:t>
            </w:r>
          </w:p>
        </w:tc>
      </w:tr>
    </w:tbl>
    <w:p>
      <w:pPr>
        <w:spacing w:after="120" w:before="0"/>
      </w:pPr>
      <w:r>
        <w:t xml:space="preserve">Counter-signed by Client Procurement: ___________________________  Date: __________</w:t>
      </w:r>
    </w:p>
    <w:sectPr>
      <w:headerReference w:type="default" r:id="rId7"/>
      <w:footerReference w:type="default" r:id="rId8"/>
      <w:headerReference w:type="first" r:id="rId10"/>
      <w:headerReference w:type="even" r:id="rId11"/>
      <w:footerReference w:type="first" r:id="rId12"/>
      <w:footerReference w:type="even" r:id="rId13"/>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06B80"/>
        <w:sz w:val="16"/>
        <w:szCs w:val="16"/>
      </w:rPr>
      <w:t xml:space="preserve">Page </w:t>
    </w:r>
    <w:r>
      <w:rPr>
        <w:color w:val="606B80"/>
        <w:sz w:val="16"/>
        <w:szCs w:val="16"/>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06B80"/>
        <w:sz w:val="16"/>
        <w:szCs w:val="16"/>
      </w:rPr>
      <w:t>ERP Method · SOW 1 — Discovery (S11)</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2A44"/>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2C4F8F"/>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2026-04-30T13:03:01.518Z</dcterms:created>
  <dcterms:modified xsi:type="dcterms:W3CDTF">2026-04-30T13:03:01.519Z</dcterms:modified>
</cp:coreProperties>
</file>

<file path=docProps/custom.xml><?xml version="1.0" encoding="utf-8"?>
<Properties xmlns="http://schemas.openxmlformats.org/officeDocument/2006/custom-properties" xmlns:vt="http://schemas.openxmlformats.org/officeDocument/2006/docPropsVTypes"/>
</file>