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color w:val="1F2A44"/>
          <w:sz w:val="40"/>
          <w:szCs w:val="40"/>
        </w:rPr>
        <w:t xml:space="preserve">Statement of Work 2</w:t>
      </w:r>
    </w:p>
    <w:p>
      <w:pPr>
        <w:spacing w:after="120"/>
        <w:jc w:val="center"/>
      </w:pPr>
      <w:r>
        <w:rPr>
          <w:b/>
          <w:bCs/>
          <w:color w:val="1F2A44"/>
          <w:sz w:val="32"/>
          <w:szCs w:val="32"/>
        </w:rPr>
        <w:t>Design + Full Business Case — Solution Design &amp; Full Business Case (S12)</w:t>
      </w:r>
    </w:p>
    <w:p>
      <w:pPr>
        <w:spacing w:after="480"/>
        <w:jc w:val="center"/>
      </w:pPr>
      <w:r>
        <w:rPr>
          <w:i/>
          <w:iCs/>
          <w:color w:val="606B80"/>
          <w:sz w:val="22"/>
          <w:szCs w:val="22"/>
        </w:rPr>
        <w:t xml:space="preserve">Template — adapt for the specific engagement. Legal and Procurement own final 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1B1B" w:sz="4"/>
              <w:left w:val="single" w:color="C01B1B" w:sz="24"/>
              <w:bottom w:val="single" w:color="C01B1B" w:sz="4"/>
              <w:right w:val="single" w:color="C01B1B" w:sz="4"/>
            </w:tcBorders>
            <w:shd w:fill="FDF2F2" w:val="clear"/>
            <w:tcMar>
              <w:top w:type="dxa" w:w="200"/>
              <w:left w:type="dxa" w:w="240"/>
              <w:bottom w:type="dxa" w:w="200"/>
              <w:right w:type="dxa" w:w="240"/>
            </w:tcMar>
          </w:tcPr>
          <w:p>
            <w:pPr>
              <w:spacing w:after="120"/>
            </w:pPr>
            <w:r>
              <w:rPr>
                <w:b/>
                <w:bCs/>
                <w:color w:val="C01B1B"/>
                <w:sz w:val="18"/>
                <w:szCs w:val="18"/>
              </w:rPr>
              <w:t xml:space="preserve">PRE-SIGNATURE CHECKLIST</w:t>
            </w:r>
          </w:p>
          <w:p>
            <w:r>
              <w:rPr>
                <w:sz w:val="22"/>
                <w:szCs w:val="22"/>
              </w:rPr>
              <w:t>Before signing this SOW, confirm: (a) SOW 1 (Discovery) is closed and the Discovery output is signed; (b) the MSA is in place; (c) Legal and Procurement have approved commercial and contractual terms; (d) the SI personnel committed for SOW 2 are confirmed available for SOW 3 (named-personnel commitment); (e) the Funding Envelope &amp; Benchmark Costs (S6) Funding Envelope still covers projected delivery costs.</w:t>
            </w:r>
          </w:p>
        </w:tc>
      </w:tr>
    </w:tbl>
    <w:p>
      <w:pPr>
        <w:pStyle w:val="Heading1"/>
        <w:spacing w:after="180" w:before="360"/>
      </w:pPr>
      <w:r>
        <w:rPr>
          <w:b/>
          <w:bCs/>
          <w:color w:val="1F2A44"/>
          <w:sz w:val="32"/>
          <w:szCs w:val="32"/>
        </w:rPr>
        <w:t xml:space="preserve">1. Document Control</w:t>
      </w:r>
    </w:p>
    <w:p>
      <w:pPr>
        <w:pStyle w:val="Heading2"/>
        <w:spacing w:after="140" w:before="280"/>
      </w:pPr>
      <w:r>
        <w:rPr>
          <w:b/>
          <w:bCs/>
          <w:color w:val="1F2A44"/>
          <w:sz w:val="26"/>
          <w:szCs w:val="26"/>
        </w:rPr>
        <w:t xml:space="preserve">1.1 Versions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2200"/>
        <w:gridCol w:w="4126"/>
      </w:tblGrid>
      <w:tr>
        <w:trPr>
          <w:tblHeader/>
        </w:trPr>
        <w:tc>
          <w:tcPr>
            <w:tcW w:type="dxa" w:w="12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Version</w:t>
            </w:r>
          </w:p>
        </w:tc>
        <w:tc>
          <w:tcPr>
            <w:tcW w:type="dxa" w:w="1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Date</w:t>
            </w:r>
          </w:p>
        </w:tc>
        <w:tc>
          <w:tcPr>
            <w:tcW w:type="dxa" w:w="22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Author</w:t>
            </w:r>
          </w:p>
        </w:tc>
        <w:tc>
          <w:tcPr>
            <w:tcW w:type="dxa" w:w="41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Change</w:t>
            </w:r>
          </w:p>
        </w:tc>
      </w:tr>
      <w:tr>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0.1</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[Draft date]</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[Programme Manager]</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Initial draft</w:t>
            </w:r>
          </w:p>
        </w:tc>
      </w:tr>
      <w:tr>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w:t>
            </w:r>
          </w:p>
        </w:tc>
        <w:tc>
          <w:tcPr>
            <w:tcW w:type="dxa" w:w="1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[Sign-off date]</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Client + Supplier</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Approved version for signature</w:t>
            </w:r>
          </w:p>
        </w:tc>
      </w:tr>
    </w:tbl>
    <w:p>
      <w:pPr>
        <w:pStyle w:val="Heading1"/>
        <w:spacing w:after="180" w:before="360"/>
      </w:pPr>
      <w:r>
        <w:rPr>
          <w:b/>
          <w:bCs/>
          <w:color w:val="1F2A44"/>
          <w:sz w:val="32"/>
          <w:szCs w:val="32"/>
        </w:rPr>
        <w:t xml:space="preserve">2. Parties and MSA reference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2A44" w:sz="4"/>
              <w:left w:val="single" w:color="1F2A44" w:sz="24"/>
              <w:bottom w:val="single" w:color="1F2A44" w:sz="4"/>
              <w:right w:val="single" w:color="1F2A44" w:sz="4"/>
            </w:tcBorders>
            <w:shd w:fill="F4F6FA" w:val="clear"/>
            <w:tcMar>
              <w:top w:type="dxa" w:w="200"/>
              <w:left w:type="dxa" w:w="240"/>
              <w:bottom w:type="dxa" w:w="200"/>
              <w:right w:type="dxa" w:w="240"/>
            </w:tcMar>
          </w:tcPr>
          <w:p>
            <w:pPr>
              <w:spacing w:after="120"/>
            </w:pPr>
            <w:r>
              <w:rPr>
                <w:b/>
                <w:bCs/>
                <w:color w:val="1F2A44"/>
                <w:sz w:val="18"/>
                <w:szCs w:val="18"/>
              </w:rPr>
              <w:t xml:space="preserve">STANDARD MSA REFERENCE CLAUSE</w:t>
            </w:r>
          </w:p>
          <w:p>
            <w:r>
              <w:rPr>
                <w:sz w:val="22"/>
                <w:szCs w:val="22"/>
              </w:rPr>
              <w:t xml:space="preserve">This Statement of Work is executed under and governed by the Master Services Agreement (MSA) dated [DATE] between [CLIENT NAME] ("Client") and [SI NAME] ("Supplier"). All capitalised terms used and not defined in this SOW have the meanings given in the MSA. In the event of conflict between this SOW and the MSA, the MSA prevails except where this SOW expressly varies its terms in respect of this engagement only.</w:t>
            </w:r>
          </w:p>
        </w:tc>
      </w:tr>
    </w:tbl>
    <w:p>
      <w:pPr>
        <w:spacing w:after="120" w:before="0"/>
      </w:pPr>
      <w:r>
        <w:t>This SOW is the second in a suite of three SOWs covering the engagement. It follows SOW 1 (Discovery) and is intended to be signed during Discovery (S11) so that Stage 12 (Solution Design and Full Business Case) can start without a contractual gap. SOW 3 (Build, Test, Deploy, Hypercare) follows under separate signature, conditional on the outcomes of this SOW and on Gate 2 board approval at end of S12.</w:t>
      </w:r>
    </w:p>
    <w:p>
      <w:pPr>
        <w:pStyle w:val="Heading1"/>
        <w:spacing w:after="180" w:before="360"/>
      </w:pPr>
      <w:r>
        <w:rPr>
          <w:b/>
          <w:bCs/>
          <w:color w:val="1F2A44"/>
          <w:sz w:val="32"/>
          <w:szCs w:val="32"/>
        </w:rPr>
        <w:t xml:space="preserve">3. SOW Purpose and Scope</w:t>
      </w:r>
    </w:p>
    <w:p>
      <w:pPr>
        <w:pStyle w:val="Heading2"/>
        <w:spacing w:after="140" w:before="280"/>
      </w:pPr>
      <w:r>
        <w:rPr>
          <w:b/>
          <w:bCs/>
          <w:color w:val="1F2A44"/>
          <w:sz w:val="26"/>
          <w:szCs w:val="26"/>
        </w:rPr>
        <w:t xml:space="preserve">3.1 Purpose</w:t>
      </w:r>
    </w:p>
    <w:p>
      <w:pPr>
        <w:spacing w:after="120" w:before="0"/>
      </w:pPr>
      <w:r>
        <w:t>This SOW covers the work to be performed during Stage 12 (Solution Design and Full Business Case) of the canonical Method. The objectives of S12 are to:</w:t>
      </w:r>
    </w:p>
    <w:p>
      <w:pPr>
        <w:pStyle w:val="ListParagraph"/>
        <w:numPr>
          <w:ilvl w:val="0"/>
          <w:numId w:val="2"/>
        </w:numPr>
        <w:spacing w:after="80"/>
      </w:pPr>
      <w:r>
        <w:rPr>
          <w:sz w:val="22"/>
          <w:szCs w:val="22"/>
        </w:rPr>
        <w:t xml:space="preserve">Author the Solution Design Document (SDD) covering functional design, integration design, data migration design, security architecture and infrastructure design</w:t>
      </w:r>
    </w:p>
    <w:p>
      <w:pPr>
        <w:pStyle w:val="ListParagraph"/>
        <w:numPr>
          <w:ilvl w:val="0"/>
          <w:numId w:val="2"/>
        </w:numPr>
        <w:spacing w:after="80"/>
      </w:pPr>
      <w:r>
        <w:rPr>
          <w:sz w:val="22"/>
          <w:szCs w:val="22"/>
        </w:rPr>
        <w:t xml:space="preserve">Make and document configuration vs customisation decisions per gap identified in SOW 1's fit-gap register</w:t>
      </w:r>
    </w:p>
    <w:p>
      <w:pPr>
        <w:pStyle w:val="ListParagraph"/>
        <w:numPr>
          <w:ilvl w:val="0"/>
          <w:numId w:val="2"/>
        </w:numPr>
        <w:spacing w:after="80"/>
      </w:pPr>
      <w:r>
        <w:rPr>
          <w:sz w:val="22"/>
          <w:szCs w:val="22"/>
        </w:rPr>
        <w:t xml:space="preserve">Obtain Design Authority sign-off on all design artefacts</w:t>
      </w:r>
    </w:p>
    <w:p>
      <w:pPr>
        <w:pStyle w:val="ListParagraph"/>
        <w:numPr>
          <w:ilvl w:val="0"/>
          <w:numId w:val="2"/>
        </w:numPr>
        <w:spacing w:after="80"/>
      </w:pPr>
      <w:r>
        <w:rPr>
          <w:sz w:val="22"/>
          <w:szCs w:val="22"/>
        </w:rPr>
        <w:t xml:space="preserve">Deliver firm/capped pricing for SOW 3 (Build, Test, Deploy, Hypercare) at ±10–15% accuracy</w:t>
      </w:r>
    </w:p>
    <w:p>
      <w:pPr>
        <w:pStyle w:val="ListParagraph"/>
        <w:numPr>
          <w:ilvl w:val="0"/>
          <w:numId w:val="2"/>
        </w:numPr>
        <w:spacing w:after="80"/>
      </w:pPr>
      <w:r>
        <w:rPr>
          <w:sz w:val="22"/>
          <w:szCs w:val="22"/>
        </w:rPr>
        <w:t xml:space="preserve">Produce the Full Business Case for the Client board's commit-to-build decision at Gate 2</w:t>
      </w:r>
    </w:p>
    <w:p>
      <w:pPr>
        <w:pStyle w:val="Heading2"/>
        <w:spacing w:after="140" w:before="280"/>
      </w:pPr>
      <w:r>
        <w:rPr>
          <w:b/>
          <w:bCs/>
          <w:color w:val="1F2A44"/>
          <w:sz w:val="26"/>
          <w:szCs w:val="26"/>
        </w:rPr>
        <w:t xml:space="preserve">3.2 In scope</w:t>
      </w:r>
    </w:p>
    <w:p>
      <w:pPr>
        <w:pStyle w:val="ListParagraph"/>
        <w:numPr>
          <w:ilvl w:val="0"/>
          <w:numId w:val="3"/>
        </w:numPr>
        <w:spacing w:after="80"/>
      </w:pPr>
      <w:r>
        <w:rPr>
          <w:sz w:val="22"/>
          <w:szCs w:val="22"/>
        </w:rPr>
        <w:t xml:space="preserve">Solution Design Document — functional design (process by process)</w:t>
      </w:r>
    </w:p>
    <w:p>
      <w:pPr>
        <w:pStyle w:val="ListParagraph"/>
        <w:numPr>
          <w:ilvl w:val="0"/>
          <w:numId w:val="3"/>
        </w:numPr>
        <w:spacing w:after="80"/>
      </w:pPr>
      <w:r>
        <w:rPr>
          <w:sz w:val="22"/>
          <w:szCs w:val="22"/>
        </w:rPr>
        <w:t xml:space="preserve">Integration design — for each interface in the catalogue, design specification including API specs and sequencing</w:t>
      </w:r>
    </w:p>
    <w:p>
      <w:pPr>
        <w:pStyle w:val="ListParagraph"/>
        <w:numPr>
          <w:ilvl w:val="0"/>
          <w:numId w:val="3"/>
        </w:numPr>
        <w:spacing w:after="80"/>
      </w:pPr>
      <w:r>
        <w:rPr>
          <w:sz w:val="22"/>
          <w:szCs w:val="22"/>
        </w:rPr>
        <w:t xml:space="preserve">Data migration design — source-to-target mapping, transformation rules, cleansing rules, dry-run plan</w:t>
      </w:r>
    </w:p>
    <w:p>
      <w:pPr>
        <w:pStyle w:val="ListParagraph"/>
        <w:numPr>
          <w:ilvl w:val="0"/>
          <w:numId w:val="3"/>
        </w:numPr>
        <w:spacing w:after="80"/>
      </w:pPr>
      <w:r>
        <w:rPr>
          <w:sz w:val="22"/>
          <w:szCs w:val="22"/>
        </w:rPr>
        <w:t xml:space="preserve">Security architecture — role design, access matrix, segregation of duties, integration with Client identity systems</w:t>
      </w:r>
    </w:p>
    <w:p>
      <w:pPr>
        <w:pStyle w:val="ListParagraph"/>
        <w:numPr>
          <w:ilvl w:val="0"/>
          <w:numId w:val="3"/>
        </w:numPr>
        <w:spacing w:after="80"/>
      </w:pPr>
      <w:r>
        <w:rPr>
          <w:sz w:val="22"/>
          <w:szCs w:val="22"/>
        </w:rPr>
        <w:t xml:space="preserve">Infrastructure design — environment architecture, sizing, scaling, disaster recovery</w:t>
      </w:r>
    </w:p>
    <w:p>
      <w:pPr>
        <w:pStyle w:val="ListParagraph"/>
        <w:numPr>
          <w:ilvl w:val="0"/>
          <w:numId w:val="3"/>
        </w:numPr>
        <w:spacing w:after="80"/>
      </w:pPr>
      <w:r>
        <w:rPr>
          <w:sz w:val="22"/>
          <w:szCs w:val="22"/>
        </w:rPr>
        <w:t xml:space="preserve">Configuration vs customisation register — final decisions per gap from SOW 1 with Design Authority approval</w:t>
      </w:r>
    </w:p>
    <w:p>
      <w:pPr>
        <w:pStyle w:val="ListParagraph"/>
        <w:numPr>
          <w:ilvl w:val="0"/>
          <w:numId w:val="3"/>
        </w:numPr>
        <w:spacing w:after="80"/>
      </w:pPr>
      <w:r>
        <w:rPr>
          <w:sz w:val="22"/>
          <w:szCs w:val="22"/>
        </w:rPr>
        <w:t xml:space="preserve">Build estimation and firm pricing for SOW 3 at ±10–15% accuracy, broken down by stage and workstream</w:t>
      </w:r>
    </w:p>
    <w:p>
      <w:pPr>
        <w:pStyle w:val="ListParagraph"/>
        <w:numPr>
          <w:ilvl w:val="0"/>
          <w:numId w:val="3"/>
        </w:numPr>
        <w:spacing w:after="80"/>
      </w:pPr>
      <w:r>
        <w:rPr>
          <w:sz w:val="22"/>
          <w:szCs w:val="22"/>
        </w:rPr>
        <w:t xml:space="preserve">Risk register update — risks identified during design, with mitigations</w:t>
      </w:r>
    </w:p>
    <w:p>
      <w:pPr>
        <w:pStyle w:val="ListParagraph"/>
        <w:numPr>
          <w:ilvl w:val="0"/>
          <w:numId w:val="3"/>
        </w:numPr>
        <w:spacing w:after="80"/>
      </w:pPr>
      <w:r>
        <w:rPr>
          <w:sz w:val="22"/>
          <w:szCs w:val="22"/>
        </w:rPr>
        <w:t>Full Business Case input — design summary, firm pricing, refined timeline, residual risks for inclusion in the Client's S12 board paper</w:t>
      </w:r>
    </w:p>
    <w:p>
      <w:pPr>
        <w:pStyle w:val="Heading2"/>
        <w:spacing w:after="140" w:before="280"/>
      </w:pPr>
      <w:r>
        <w:rPr>
          <w:b/>
          <w:bCs/>
          <w:color w:val="1F2A44"/>
          <w:sz w:val="26"/>
          <w:szCs w:val="26"/>
        </w:rPr>
        <w:t xml:space="preserve">3.3 Out of scope</w:t>
      </w:r>
    </w:p>
    <w:p>
      <w:pPr>
        <w:pStyle w:val="ListParagraph"/>
        <w:numPr>
          <w:ilvl w:val="0"/>
          <w:numId w:val="3"/>
        </w:numPr>
        <w:spacing w:after="80"/>
      </w:pPr>
      <w:r>
        <w:rPr>
          <w:sz w:val="22"/>
          <w:szCs w:val="22"/>
        </w:rPr>
        <w:t xml:space="preserve">As-is process work — covered by SOW 1</w:t>
      </w:r>
    </w:p>
    <w:p>
      <w:pPr>
        <w:pStyle w:val="ListParagraph"/>
        <w:numPr>
          <w:ilvl w:val="0"/>
          <w:numId w:val="3"/>
        </w:numPr>
        <w:spacing w:after="80"/>
      </w:pPr>
      <w:r>
        <w:rPr>
          <w:sz w:val="22"/>
          <w:szCs w:val="22"/>
        </w:rPr>
        <w:t xml:space="preserve">Build, configuration, test, cutover, deployment, hypercare — covered by SOW 3</w:t>
      </w:r>
    </w:p>
    <w:p>
      <w:pPr>
        <w:pStyle w:val="ListParagraph"/>
        <w:numPr>
          <w:ilvl w:val="0"/>
          <w:numId w:val="3"/>
        </w:numPr>
        <w:spacing w:after="80"/>
      </w:pPr>
      <w:r>
        <w:rPr>
          <w:sz w:val="22"/>
          <w:szCs w:val="22"/>
        </w:rPr>
        <w:t>Authoring of the Client's S12 board paper — Client owns; Supplier provides design and pricing inputs</w:t>
      </w:r>
    </w:p>
    <w:p>
      <w:r>
        <w:br w:type="page"/>
      </w:r>
    </w:p>
    <w:p>
      <w:pPr>
        <w:pStyle w:val="Heading1"/>
        <w:spacing w:after="180" w:before="360"/>
      </w:pPr>
      <w:r>
        <w:rPr>
          <w:b/>
          <w:bCs/>
          <w:color w:val="1F2A44"/>
          <w:sz w:val="32"/>
          <w:szCs w:val="32"/>
        </w:rPr>
        <w:t xml:space="preserve">4. Approach</w:t>
      </w:r>
    </w:p>
    <w:p>
      <w:pPr>
        <w:pStyle w:val="Heading2"/>
        <w:spacing w:after="140" w:before="280"/>
      </w:pPr>
      <w:r>
        <w:rPr>
          <w:b/>
          <w:bCs/>
          <w:color w:val="1F2A44"/>
          <w:sz w:val="26"/>
          <w:szCs w:val="26"/>
        </w:rPr>
        <w:t xml:space="preserve">4.1 Design Authority-led</w:t>
      </w:r>
    </w:p>
    <w:p>
      <w:pPr>
        <w:spacing w:after="120" w:before="0"/>
      </w:pPr>
      <w:r>
        <w:t>The Design Authority — formed at end of SOW 1 — is the governing body for all design decisions during S12. The Design Authority co-chair is the Client Solution Architect; the Supplier Solution Architect attends as the second co-chair. The DA meets bi-weekly during S12 and signs off each design domain as it completes.</w:t>
      </w:r>
    </w:p>
    <w:p>
      <w:pPr>
        <w:pStyle w:val="Heading2"/>
        <w:spacing w:after="140" w:before="280"/>
      </w:pPr>
      <w:r>
        <w:rPr>
          <w:b/>
          <w:bCs/>
          <w:color w:val="1F2A44"/>
          <w:sz w:val="26"/>
          <w:szCs w:val="26"/>
        </w:rPr>
        <w:t>4.2 S12 activities by week</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4500"/>
        <w:gridCol w:w="3326"/>
      </w:tblGrid>
      <w:tr>
        <w:trPr>
          <w:tblHeader/>
        </w:trPr>
        <w:tc>
          <w:tcPr>
            <w:tcW w:type="dxa" w:w="12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Week</w:t>
            </w:r>
          </w:p>
        </w:tc>
        <w:tc>
          <w:tcPr>
            <w:tcW w:type="dxa" w:w="4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Activities</w:t>
            </w:r>
          </w:p>
        </w:tc>
        <w:tc>
          <w:tcPr>
            <w:tcW w:type="dxa" w:w="33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Outputs</w:t>
            </w:r>
          </w:p>
        </w:tc>
      </w:tr>
      <w:tr>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Week 1</w:t>
            </w:r>
          </w:p>
        </w:tc>
        <w:tc>
          <w:tcPr>
            <w:tcW w:type="dxa" w:w="4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S12 mobilisation; Design Authority cadence confirmed; design plan signed</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Design plan</w:t>
            </w:r>
          </w:p>
        </w:tc>
      </w:tr>
      <w:tr>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Weeks 2–4</w:t>
            </w:r>
          </w:p>
        </w:tc>
        <w:tc>
          <w:tcPr>
            <w:tcW w:type="dxa" w:w="4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Functional design per process stream; Configuration vs Customisation decisions ratified by DA</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Functional design documents; Configuration register</w:t>
            </w:r>
          </w:p>
        </w:tc>
      </w:tr>
      <w:tr>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Weeks 3–5</w:t>
            </w:r>
          </w:p>
        </w:tc>
        <w:tc>
          <w:tcPr>
            <w:tcW w:type="dxa" w:w="4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Integration design (parallel); data migration design (parallel); security architecture design (parallel)</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Integration design pack; data migration design; security design</w:t>
            </w:r>
          </w:p>
        </w:tc>
      </w:tr>
      <w:tr>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Weeks 5–6</w:t>
            </w:r>
          </w:p>
        </w:tc>
        <w:tc>
          <w:tcPr>
            <w:tcW w:type="dxa" w:w="4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Infrastructure design and environments architecture; build estimation begins</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Infrastructure design; build estimate v1</w:t>
            </w:r>
          </w:p>
        </w:tc>
      </w:tr>
      <w:tr>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Weeks 6–7</w:t>
            </w:r>
          </w:p>
        </w:tc>
        <w:tc>
          <w:tcPr>
            <w:tcW w:type="dxa" w:w="4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Solution Design Document consolidation; Design Authority sign-off; firm pricing for SOW 3 finalised</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Signed SDD; firm SOW 3 pricing</w:t>
            </w:r>
          </w:p>
        </w:tc>
      </w:tr>
      <w:tr>
        <w:tc>
          <w:tcPr>
            <w:tcW w:type="dxa" w:w="12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Week 7–8</w:t>
            </w:r>
          </w:p>
        </w:tc>
        <w:tc>
          <w:tcPr>
            <w:tcW w:type="dxa" w:w="4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Full Business Case inputs delivered to Client; board paper preparation; Gate 2 review; SOW 3 signature</w:t>
            </w:r>
          </w:p>
        </w:tc>
        <w:tc>
          <w:tcPr>
            <w:tcW w:type="dxa" w:w="33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FBC inputs; SOW 3 signed</w:t>
            </w:r>
          </w:p>
        </w:tc>
      </w:tr>
    </w:tbl>
    <w:p>
      <w:pPr>
        <w:pStyle w:val="Heading1"/>
        <w:spacing w:after="180" w:before="360"/>
      </w:pPr>
      <w:r>
        <w:rPr>
          <w:b/>
          <w:bCs/>
          <w:color w:val="1F2A44"/>
          <w:sz w:val="32"/>
          <w:szCs w:val="32"/>
        </w:rPr>
        <w:t xml:space="preserve">5. Deliverables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3300"/>
        <w:gridCol w:w="4126"/>
        <w:gridCol w:w="1000"/>
      </w:tblGrid>
      <w:tr>
        <w:trPr>
          <w:tblHeader/>
        </w:trPr>
        <w:tc>
          <w:tcPr>
            <w:tcW w:type="dxa" w:w="6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t>
            </w:r>
          </w:p>
        </w:tc>
        <w:tc>
          <w:tcPr>
            <w:tcW w:type="dxa" w:w="33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Deliverable</w:t>
            </w:r>
          </w:p>
        </w:tc>
        <w:tc>
          <w:tcPr>
            <w:tcW w:type="dxa" w:w="41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Description</w:t>
            </w:r>
          </w:p>
        </w:tc>
        <w:tc>
          <w:tcPr>
            <w:tcW w:type="dxa" w:w="1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Owner</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D1</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S12 Design Plan</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Plan covering all design domains, Design Authority cadence, sign-off schedule</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D2</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Functional Design Documents (FDDs)</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One per process stream; details processes, screens, workflows, business rules; signed by Process Owners and DA</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D3</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Configuration vs Customisation register</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Final decisions per gap from SOW 1's fit-gap register, with cost/benefit and DA approval</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D4</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Integration Design Pack</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Per-interface design including API specs, sequencing, error handling, monitoring; signed by DA</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D5</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Data Migration Design</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Source-to-target mapping, transformation rules, cleansing rules, dry-run plan, reconciliation approach</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D6</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Security Architecture</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Role design, access matrix, SoD analysis, integration with Client identity, audit logging</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D7</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Infrastructure Design</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Environment architecture, sizing, scaling, DR, backup, monitoring</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D8</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Solution Design Document (consolidated)</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Single signed document combining D2 through D7. The signed SDD is the input to SOW 3.</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D9</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Firm Pricing for SOW 3</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Build, Test, Deploy and Hypercare costs at ±10–15% accuracy, broken down by stage and workstream</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D10</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Full Business Case Inputs</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Design summary, firm pricing, refined timeline, residual risks — for inclusion in Client's S12 board paper</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D11</w:t>
            </w:r>
          </w:p>
        </w:tc>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Updated Risk Register</w:t>
            </w:r>
          </w:p>
        </w:tc>
        <w:tc>
          <w:tcPr>
            <w:tcW w:type="dxa" w:w="41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Risks identified during design, scored, mitigated, owners assigned</w:t>
            </w:r>
          </w:p>
        </w:tc>
        <w:tc>
          <w:tcPr>
            <w:tcW w:type="dxa" w:w="1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w:t>
            </w:r>
          </w:p>
        </w:tc>
      </w:tr>
    </w:tbl>
    <w:p>
      <w:pPr>
        <w:pStyle w:val="Heading2"/>
        <w:spacing w:after="140" w:before="280"/>
      </w:pPr>
      <w:r>
        <w:rPr>
          <w:b/>
          <w:bCs/>
          <w:color w:val="1F2A44"/>
          <w:sz w:val="26"/>
          <w:szCs w:val="26"/>
        </w:rPr>
        <w:t xml:space="preserve">5.1 Acceptance criteria for the Solution Design Document</w:t>
      </w:r>
    </w:p>
    <w:p>
      <w:pPr>
        <w:pStyle w:val="ListParagraph"/>
        <w:numPr>
          <w:ilvl w:val="0"/>
          <w:numId w:val="3"/>
        </w:numPr>
        <w:spacing w:after="80"/>
      </w:pPr>
      <w:r>
        <w:rPr>
          <w:sz w:val="22"/>
          <w:szCs w:val="22"/>
        </w:rPr>
        <w:t xml:space="preserve">All FDDs signed by relevant Process Owners and Design Authority</w:t>
      </w:r>
    </w:p>
    <w:p>
      <w:pPr>
        <w:pStyle w:val="ListParagraph"/>
        <w:numPr>
          <w:ilvl w:val="0"/>
          <w:numId w:val="3"/>
        </w:numPr>
        <w:spacing w:after="80"/>
      </w:pPr>
      <w:r>
        <w:rPr>
          <w:sz w:val="22"/>
          <w:szCs w:val="22"/>
        </w:rPr>
        <w:t xml:space="preserve">Configuration vs Customisation register complete with no "undecided" items</w:t>
      </w:r>
    </w:p>
    <w:p>
      <w:pPr>
        <w:pStyle w:val="ListParagraph"/>
        <w:numPr>
          <w:ilvl w:val="0"/>
          <w:numId w:val="3"/>
        </w:numPr>
        <w:spacing w:after="80"/>
      </w:pPr>
      <w:r>
        <w:rPr>
          <w:sz w:val="22"/>
          <w:szCs w:val="22"/>
        </w:rPr>
        <w:t xml:space="preserve">Integration design pack covers every interface in the catalogue</w:t>
      </w:r>
    </w:p>
    <w:p>
      <w:pPr>
        <w:pStyle w:val="ListParagraph"/>
        <w:numPr>
          <w:ilvl w:val="0"/>
          <w:numId w:val="3"/>
        </w:numPr>
        <w:spacing w:after="80"/>
      </w:pPr>
      <w:r>
        <w:rPr>
          <w:sz w:val="22"/>
          <w:szCs w:val="22"/>
        </w:rPr>
        <w:t xml:space="preserve">Data migration design includes a defined dry-run plan and reconciliation approach</w:t>
      </w:r>
    </w:p>
    <w:p>
      <w:pPr>
        <w:pStyle w:val="ListParagraph"/>
        <w:numPr>
          <w:ilvl w:val="0"/>
          <w:numId w:val="3"/>
        </w:numPr>
        <w:spacing w:after="80"/>
      </w:pPr>
      <w:r>
        <w:rPr>
          <w:sz w:val="22"/>
          <w:szCs w:val="22"/>
        </w:rPr>
        <w:t xml:space="preserve">Security architecture includes role design and SoD analysis</w:t>
      </w:r>
    </w:p>
    <w:p>
      <w:pPr>
        <w:pStyle w:val="ListParagraph"/>
        <w:numPr>
          <w:ilvl w:val="0"/>
          <w:numId w:val="3"/>
        </w:numPr>
        <w:spacing w:after="80"/>
      </w:pPr>
      <w:r>
        <w:rPr>
          <w:sz w:val="22"/>
          <w:szCs w:val="22"/>
        </w:rPr>
        <w:t xml:space="preserve">Infrastructure design includes DR and BCP provisions</w:t>
      </w:r>
    </w:p>
    <w:p>
      <w:pPr>
        <w:pStyle w:val="ListParagraph"/>
        <w:numPr>
          <w:ilvl w:val="0"/>
          <w:numId w:val="3"/>
        </w:numPr>
        <w:spacing w:after="80"/>
      </w:pPr>
      <w:r>
        <w:rPr>
          <w:sz w:val="22"/>
          <w:szCs w:val="22"/>
        </w:rPr>
        <w:t xml:space="preserve">SDD signed by Design Authority and Sponsor</w:t>
      </w:r>
    </w:p>
    <w:p>
      <w:r>
        <w:br w:type="page"/>
      </w:r>
    </w:p>
    <w:p>
      <w:pPr>
        <w:pStyle w:val="Heading1"/>
        <w:spacing w:after="180" w:before="360"/>
      </w:pPr>
      <w:r>
        <w:rPr>
          <w:b/>
          <w:bCs/>
          <w:color w:val="1F2A44"/>
          <w:sz w:val="32"/>
          <w:szCs w:val="32"/>
        </w:rPr>
        <w:t xml:space="preserve">6. The ROM-to-firm conversion clause (critical)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1B1B" w:sz="4"/>
              <w:left w:val="single" w:color="C01B1B" w:sz="24"/>
              <w:bottom w:val="single" w:color="C01B1B" w:sz="4"/>
              <w:right w:val="single" w:color="C01B1B" w:sz="4"/>
            </w:tcBorders>
            <w:shd w:fill="FDF2F2" w:val="clear"/>
            <w:tcMar>
              <w:top w:type="dxa" w:w="200"/>
              <w:left w:type="dxa" w:w="240"/>
              <w:bottom w:type="dxa" w:w="200"/>
              <w:right w:type="dxa" w:w="240"/>
            </w:tcMar>
          </w:tcPr>
          <w:p>
            <w:pPr>
              <w:spacing w:after="120"/>
            </w:pPr>
            <w:r>
              <w:rPr>
                <w:b/>
                <w:bCs/>
                <w:color w:val="C01B1B"/>
                <w:sz w:val="18"/>
                <w:szCs w:val="18"/>
              </w:rPr>
              <w:t xml:space="preserve">STANDARD ROM-TO-FIRM CLAUSE</w:t>
            </w:r>
          </w:p>
          <w:p>
            <w:r>
              <w:rPr>
                <w:sz w:val="22"/>
                <w:szCs w:val="22"/>
              </w:rPr>
              <w:t>By the end of S12, and as a deliverable of this SOW (D9), the Supplier shall provide firm or capped pricing for the work to be covered by SOW 3 (Build, Test, Deploy, Hypercare) at ±10–15% accuracy, calculated against the agreed Solution Design Document. If the Supplier cannot deliver firm pricing within the agreed band, the Client retains the right to: (a) extend S12 at the unit rates set out in the MSA without committing to SOW 3, or (b) terminate the engagement at the end of S12 with payment limited to work performed under SOWs 1 and 2.</w:t>
            </w:r>
          </w:p>
        </w:tc>
      </w:tr>
    </w:tbl>
    <w:p>
      <w:pPr>
        <w:spacing w:after="120" w:before="0"/>
      </w:pPr>
      <w:r>
        <w:t xml:space="preserve">This clause is the contractual lever for Gate 2. Without it, ROM pricing drifts into Build commitments by default — which is the most common reason ERP business cases fail to hold.</w:t>
      </w:r>
    </w:p>
    <w:p>
      <w:pPr>
        <w:pStyle w:val="Heading1"/>
        <w:spacing w:after="180" w:before="360"/>
      </w:pPr>
      <w:r>
        <w:rPr>
          <w:b/>
          <w:bCs/>
          <w:color w:val="1F2A44"/>
          <w:sz w:val="32"/>
          <w:szCs w:val="32"/>
        </w:rPr>
        <w:t xml:space="preserve">7. Named Personnel commitment to SOW 3</w:t>
      </w:r>
    </w:p>
    <w:p>
      <w:pPr>
        <w:spacing w:after="120" w:before="0"/>
      </w:pPr>
      <w:r>
        <w:t xml:space="preserve">As a deliverable of this SOW, the Supplier confirms the named personnel who will continue from this SOW into SOW 3, with minimum commitment periods. Substitution is permitted only with Client consent per the MSA.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2500"/>
        <w:gridCol w:w="2000"/>
        <w:gridCol w:w="1526"/>
      </w:tblGrid>
      <w:tr>
        <w:trPr>
          <w:tblHeader/>
        </w:trPr>
        <w:tc>
          <w:tcPr>
            <w:tcW w:type="dxa" w:w="3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Role</w:t>
            </w:r>
          </w:p>
        </w:tc>
        <w:tc>
          <w:tcPr>
            <w:tcW w:type="dxa" w:w="2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Named individual</w:t>
            </w:r>
          </w:p>
        </w:tc>
        <w:tc>
          <w:tcPr>
            <w:tcW w:type="dxa" w:w="2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Min commitment</w:t>
            </w:r>
          </w:p>
        </w:tc>
        <w:tc>
          <w:tcPr>
            <w:tcW w:type="dxa" w:w="15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 allocation</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Supplier Engagement Manager / PD</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[Name]</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To Hypercare exit</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100%</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Supplier Solution Architect</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[Name]</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To Hypercare exit</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100%</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Supplier Functional Lead — Stream 1</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[Name]</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To Hypercare exit</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100%</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Supplier Functional Lead — Stream 2</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[Name]</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To Hypercare exit</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100%</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Supplier Technical Lead</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[Name]</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To Hypercare exit</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100%</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Supplier Data Migration Lead</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[Name]</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To Cutover + 4 weeks</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100%</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Supplier Test Lead</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[Name]</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To Test Exit</w:t>
            </w:r>
          </w:p>
        </w:tc>
        <w:tc>
          <w:tcPr>
            <w:tcW w:type="dxa" w:w="15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100%</w:t>
            </w:r>
          </w:p>
        </w:tc>
      </w:tr>
    </w:tbl>
    <w:p>
      <w:pPr>
        <w:pStyle w:val="Heading1"/>
        <w:spacing w:after="180" w:before="360"/>
      </w:pPr>
      <w:r>
        <w:rPr>
          <w:b/>
          <w:bCs/>
          <w:color w:val="1F2A44"/>
          <w:sz w:val="32"/>
          <w:szCs w:val="32"/>
        </w:rPr>
        <w:t xml:space="preserve">8. Pricing</w:t>
      </w:r>
    </w:p>
    <w:p>
      <w:pPr>
        <w:pStyle w:val="Heading2"/>
        <w:spacing w:after="140" w:before="280"/>
      </w:pPr>
      <w:r>
        <w:rPr>
          <w:b/>
          <w:bCs/>
          <w:color w:val="1F2A44"/>
          <w:sz w:val="26"/>
          <w:szCs w:val="26"/>
        </w:rPr>
        <w:t>8.1 Pricing model — S12</w:t>
      </w:r>
    </w:p>
    <w:p>
      <w:pPr>
        <w:spacing w:after="120" w:before="0"/>
      </w:pPr>
      <w:r>
        <w:t xml:space="preserve">Time and Materials with effort cap. Effort estimated at MSA rate card. Cap may not be exceeded without signed Change Request.</w:t>
      </w:r>
    </w:p>
    <w:p>
      <w:pPr>
        <w:pStyle w:val="Heading2"/>
        <w:spacing w:after="140" w:before="280"/>
      </w:pPr>
      <w:r>
        <w:rPr>
          <w:b/>
          <w:bCs/>
          <w:color w:val="1F2A44"/>
          <w:sz w:val="26"/>
          <w:szCs w:val="26"/>
        </w:rPr>
        <w:t xml:space="preserve">8.2 Effort cap and milestones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300"/>
        <w:gridCol w:w="2000"/>
        <w:gridCol w:w="2000"/>
        <w:gridCol w:w="1726"/>
      </w:tblGrid>
      <w:tr>
        <w:trPr>
          <w:tblHeader/>
        </w:trPr>
        <w:tc>
          <w:tcPr>
            <w:tcW w:type="dxa" w:w="33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Milestone</w:t>
            </w:r>
          </w:p>
        </w:tc>
        <w:tc>
          <w:tcPr>
            <w:tcW w:type="dxa" w:w="2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Effort (man-days)</w:t>
            </w:r>
          </w:p>
        </w:tc>
        <w:tc>
          <w:tcPr>
            <w:tcW w:type="dxa" w:w="20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Trigger</w:t>
            </w:r>
          </w:p>
        </w:tc>
        <w:tc>
          <w:tcPr>
            <w:tcW w:type="dxa" w:w="17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 Total</w:t>
            </w:r>
          </w:p>
        </w:tc>
      </w:tr>
      <w:tr>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Mobilisation complete</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S12 plan signed</w:t>
            </w:r>
          </w:p>
        </w:tc>
        <w:tc>
          <w:tcPr>
            <w:tcW w:type="dxa" w:w="17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w:t>
            </w:r>
          </w:p>
        </w:tc>
      </w:tr>
      <w:tr>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Functional FDDs complete</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All FDDs signed by Process Owners + DA</w:t>
            </w:r>
          </w:p>
        </w:tc>
        <w:tc>
          <w:tcPr>
            <w:tcW w:type="dxa" w:w="17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30%</w:t>
            </w:r>
          </w:p>
        </w:tc>
      </w:tr>
      <w:tr>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Integration + data + security design complete</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D4 + D5 + D6 signed by DA</w:t>
            </w:r>
          </w:p>
        </w:tc>
        <w:tc>
          <w:tcPr>
            <w:tcW w:type="dxa" w:w="17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25%</w:t>
            </w:r>
          </w:p>
        </w:tc>
      </w:tr>
      <w:tr>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SDD signed</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Consolidated SDD (D8) signed by DA + Sponsor</w:t>
            </w:r>
          </w:p>
        </w:tc>
        <w:tc>
          <w:tcPr>
            <w:tcW w:type="dxa" w:w="17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25%</w:t>
            </w:r>
          </w:p>
        </w:tc>
      </w:tr>
      <w:tr>
        <w:tc>
          <w:tcPr>
            <w:tcW w:type="dxa" w:w="33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Firm pricing + FBC inputs delivered</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[X]</w:t>
            </w:r>
          </w:p>
        </w:tc>
        <w:tc>
          <w:tcPr>
            <w:tcW w:type="dxa" w:w="2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D9 + D10 delivered; SOW 3 signed</w:t>
            </w:r>
          </w:p>
        </w:tc>
        <w:tc>
          <w:tcPr>
            <w:tcW w:type="dxa" w:w="17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10%</w:t>
            </w:r>
          </w:p>
        </w:tc>
      </w:tr>
      <w:tr>
        <w:tc>
          <w:tcPr>
            <w:tcW w:type="dxa" w:w="33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TOTAL EFFORT CAP</w:t>
            </w:r>
          </w:p>
        </w:tc>
        <w:tc>
          <w:tcPr>
            <w:tcW w:type="dxa" w:w="20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[X]</w:t>
            </w:r>
          </w:p>
        </w:tc>
        <w:tc>
          <w:tcPr>
            <w:tcW w:type="dxa" w:w="2000"/>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sz w:val="20"/>
                <w:szCs w:val="20"/>
              </w:rPr>
              <w:t xml:space="preserve">—</w:t>
            </w:r>
          </w:p>
        </w:tc>
        <w:tc>
          <w:tcPr>
            <w:tcW w:type="dxa" w:w="1726"/>
            <w:tcBorders>
              <w:top w:val="single" w:color="CCCCCC" w:sz="4"/>
              <w:left w:val="single" w:color="CCCCCC" w:sz="4"/>
              <w:bottom w:val="single" w:color="CCCCCC" w:sz="4"/>
              <w:right w:val="single" w:color="CCCCCC" w:sz="4"/>
            </w:tcBorders>
            <w:shd w:fill="F2F4F7" w:val="clear"/>
            <w:tcMar>
              <w:top w:type="dxa" w:w="80"/>
              <w:left w:type="dxa" w:w="120"/>
              <w:bottom w:type="dxa" w:w="80"/>
              <w:right w:type="dxa" w:w="120"/>
            </w:tcMar>
          </w:tcPr>
          <w:p>
            <w:r>
              <w:rPr>
                <w:b/>
                <w:bCs/>
                <w:sz w:val="20"/>
                <w:szCs w:val="20"/>
              </w:rPr>
              <w:t xml:space="preserve">100%</w:t>
            </w:r>
          </w:p>
        </w:tc>
      </w:tr>
    </w:tbl>
    <w:p>
      <w:pPr>
        <w:pStyle w:val="Heading1"/>
        <w:spacing w:after="180" w:before="360"/>
      </w:pPr>
      <w:r>
        <w:rPr>
          <w:b/>
          <w:bCs/>
          <w:color w:val="1F2A44"/>
          <w:sz w:val="32"/>
          <w:szCs w:val="32"/>
        </w:rPr>
        <w:t xml:space="preserve">9. Change Control</w:t>
      </w:r>
    </w:p>
    <w:p>
      <w:pPr>
        <w:spacing w:after="120" w:before="0"/>
      </w:pPr>
      <w:r>
        <w:t xml:space="preserve">Change Control follows the standard mechanism set out in the SOW Suite Overview document — same triage SLA (2 business days), impact assessment SLA (5 / 10 business days), Change Authority Board cadence, no-work-before-approval rule, escalation path. See SOW Suite Overview section 4.4.</w:t>
      </w:r>
    </w:p>
    <w:p>
      <w:pPr>
        <w:pStyle w:val="Heading1"/>
        <w:spacing w:after="180" w:before="360"/>
      </w:pPr>
      <w:r>
        <w:rPr>
          <w:b/>
          <w:bCs/>
          <w:color w:val="1F2A44"/>
          <w:sz w:val="32"/>
          <w:szCs w:val="32"/>
        </w:rPr>
        <w:t xml:space="preserve">10. Acceptance and Sign-off</w:t>
      </w:r>
    </w:p>
    <w:p>
      <w:pPr>
        <w:pStyle w:val="Heading2"/>
        <w:spacing w:after="140" w:before="280"/>
      </w:pPr>
      <w:r>
        <w:rPr>
          <w:b/>
          <w:bCs/>
          <w:color w:val="1F2A44"/>
          <w:sz w:val="26"/>
          <w:szCs w:val="26"/>
        </w:rPr>
        <w:t xml:space="preserve">10.1 Per-deliverable acceptance</w:t>
      </w:r>
    </w:p>
    <w:p>
      <w:pPr>
        <w:spacing w:after="120" w:before="0"/>
      </w:pPr>
      <w:r>
        <w:t xml:space="preserve">Each deliverable is submitted to the Client for review. The Client has [10] business days to review and accept or return with documented reasons. Where non-acceptance is raised, the Supplier remediates at no additional charge and resubmits within [10] business days.</w:t>
      </w:r>
    </w:p>
    <w:p>
      <w:pPr>
        <w:pStyle w:val="Heading2"/>
        <w:spacing w:after="140" w:before="280"/>
      </w:pPr>
      <w:r>
        <w:rPr>
          <w:b/>
          <w:bCs/>
          <w:color w:val="1F2A44"/>
          <w:sz w:val="26"/>
          <w:szCs w:val="26"/>
        </w:rPr>
        <w:t xml:space="preserve">10.2 SOW 2 closure</w:t>
      </w:r>
    </w:p>
    <w:p>
      <w:pPr>
        <w:pStyle w:val="ListParagraph"/>
        <w:numPr>
          <w:ilvl w:val="0"/>
          <w:numId w:val="3"/>
        </w:numPr>
        <w:spacing w:after="80"/>
      </w:pPr>
      <w:r>
        <w:rPr>
          <w:sz w:val="22"/>
          <w:szCs w:val="22"/>
        </w:rPr>
        <w:t xml:space="preserve">All deliverables D1 to D11 accepted by the Client</w:t>
      </w:r>
    </w:p>
    <w:p>
      <w:pPr>
        <w:pStyle w:val="ListParagraph"/>
        <w:numPr>
          <w:ilvl w:val="0"/>
          <w:numId w:val="3"/>
        </w:numPr>
        <w:spacing w:after="80"/>
      </w:pPr>
      <w:r>
        <w:rPr>
          <w:sz w:val="22"/>
          <w:szCs w:val="22"/>
        </w:rPr>
        <w:t xml:space="preserve">Solution Design Document (D8) signed by Design Authority and Sponsor</w:t>
      </w:r>
    </w:p>
    <w:p>
      <w:pPr>
        <w:pStyle w:val="ListParagraph"/>
        <w:numPr>
          <w:ilvl w:val="0"/>
          <w:numId w:val="3"/>
        </w:numPr>
        <w:spacing w:after="80"/>
      </w:pPr>
      <w:r>
        <w:rPr>
          <w:sz w:val="22"/>
          <w:szCs w:val="22"/>
        </w:rPr>
        <w:t xml:space="preserve">Firm pricing for SOW 3 (D9) accepted as basis for SOW 3 contract value</w:t>
      </w:r>
    </w:p>
    <w:p>
      <w:pPr>
        <w:pStyle w:val="ListParagraph"/>
        <w:numPr>
          <w:ilvl w:val="0"/>
          <w:numId w:val="3"/>
        </w:numPr>
        <w:spacing w:after="80"/>
      </w:pPr>
      <w:r>
        <w:rPr>
          <w:sz w:val="22"/>
          <w:szCs w:val="22"/>
        </w:rPr>
        <w:t xml:space="preserve">Either: SOW 3 is signed (engagement continues), or Client elects not to proceed (off-ramp)</w:t>
      </w:r>
    </w:p>
    <w:p>
      <w:pPr>
        <w:pStyle w:val="ListParagraph"/>
        <w:numPr>
          <w:ilvl w:val="0"/>
          <w:numId w:val="3"/>
        </w:numPr>
        <w:spacing w:after="80"/>
      </w:pPr>
      <w:r>
        <w:rPr>
          <w:sz w:val="22"/>
          <w:szCs w:val="22"/>
        </w:rPr>
        <w:t xml:space="preserve">Final invoice raised and confirmed by Client</w:t>
      </w:r>
    </w:p>
    <w:p>
      <w:r>
        <w:br w:type="page"/>
      </w:r>
    </w:p>
    <w:p>
      <w:pPr>
        <w:pStyle w:val="Heading1"/>
        <w:spacing w:after="180" w:before="360"/>
      </w:pPr>
      <w:r>
        <w:rPr>
          <w:b/>
          <w:bCs/>
          <w:color w:val="1F2A44"/>
          <w:sz w:val="32"/>
          <w:szCs w:val="32"/>
        </w:rPr>
        <w:t>11. Off-ramp at S12 / Gate 2</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2A44" w:sz="4"/>
              <w:left w:val="single" w:color="1F2A44" w:sz="24"/>
              <w:bottom w:val="single" w:color="1F2A44" w:sz="4"/>
              <w:right w:val="single" w:color="1F2A44" w:sz="4"/>
            </w:tcBorders>
            <w:shd w:fill="F4F6FA" w:val="clear"/>
            <w:tcMar>
              <w:top w:type="dxa" w:w="200"/>
              <w:left w:type="dxa" w:w="240"/>
              <w:bottom w:type="dxa" w:w="200"/>
              <w:right w:type="dxa" w:w="240"/>
            </w:tcMar>
          </w:tcPr>
          <w:p>
            <w:pPr>
              <w:spacing w:after="120"/>
            </w:pPr>
            <w:r>
              <w:rPr>
                <w:b/>
                <w:bCs/>
                <w:color w:val="1F2A44"/>
                <w:sz w:val="18"/>
                <w:szCs w:val="18"/>
              </w:rPr>
              <w:t xml:space="preserve">CLIENT RIGHT NOT TO PROCEED</w:t>
            </w:r>
          </w:p>
          <w:p>
            <w:r>
              <w:rPr>
                <w:sz w:val="22"/>
                <w:szCs w:val="22"/>
              </w:rPr>
              <w:t xml:space="preserve">On closure of this SOW, the Client retains the absolute right not to sign SOW 3 (Build, Test, Deploy, Hypercare). Grounds may include — but are not limited to — firm pricing exceeding the Funding Envelope, Full Business Case failing board approval at Gate 2, change of strategic direction, scope concerns surfaced by the design, or commercial concerns. Where the Client elects not to proceed: SOW 2 closes normally; the Client retains all Foreground IP including the signed SDD; the Supplier hands over all in-progress materials within 10 business days; the Supplier may not charge wind-down costs over and above milestones invoiced. The MSA remains in place unless separately terminated. The Client may, at its discretion, re-tender SOW 3 to a different supplier using the signed SDD as input.</w:t>
            </w:r>
          </w:p>
        </w:tc>
      </w:tr>
    </w:tbl>
    <w:p>
      <w:pPr>
        <w:pStyle w:val="Heading1"/>
        <w:spacing w:after="180" w:before="360"/>
      </w:pPr>
      <w:r>
        <w:rPr>
          <w:b/>
          <w:bCs/>
          <w:color w:val="1F2A44"/>
          <w:sz w:val="32"/>
          <w:szCs w:val="32"/>
        </w:rPr>
        <w:t xml:space="preserve">12. Risks, Constraints and Assumptions</w:t>
      </w:r>
    </w:p>
    <w:p>
      <w:pPr>
        <w:pStyle w:val="Heading2"/>
        <w:spacing w:after="140" w:before="280"/>
      </w:pPr>
      <w:r>
        <w:rPr>
          <w:b/>
          <w:bCs/>
          <w:color w:val="1F2A44"/>
          <w:sz w:val="26"/>
          <w:szCs w:val="26"/>
        </w:rPr>
        <w:t xml:space="preserve">12.1 Risks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3500"/>
        <w:gridCol w:w="2500"/>
        <w:gridCol w:w="2426"/>
      </w:tblGrid>
      <w:tr>
        <w:trPr>
          <w:tblHeader/>
        </w:trPr>
        <w:tc>
          <w:tcPr>
            <w:tcW w:type="dxa" w:w="6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w:t>
            </w:r>
          </w:p>
        </w:tc>
        <w:tc>
          <w:tcPr>
            <w:tcW w:type="dxa" w:w="3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Risk</w:t>
            </w:r>
          </w:p>
        </w:tc>
        <w:tc>
          <w:tcPr>
            <w:tcW w:type="dxa" w:w="2500"/>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Owner</w:t>
            </w:r>
          </w:p>
        </w:tc>
        <w:tc>
          <w:tcPr>
            <w:tcW w:type="dxa" w:w="2426"/>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Mitigation</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R1</w:t>
            </w:r>
          </w:p>
        </w:tc>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Design surfaces customisations not anticipated in SOW 1, exceeding effort cap</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Shared</w:t>
            </w:r>
          </w:p>
        </w:tc>
        <w:tc>
          <w:tcPr>
            <w:tcW w:type="dxa" w:w="24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Mid-point review at week 4; raise CR if cap will be breached</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R2</w:t>
            </w:r>
          </w:p>
        </w:tc>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Design Authority decision-making slower than cadence supports</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Client</w:t>
            </w:r>
          </w:p>
        </w:tc>
        <w:tc>
          <w:tcPr>
            <w:tcW w:type="dxa" w:w="24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Bi-weekly DA confirmed in advance; Sponsor-level escalation if a decision exceeds 10 business days</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R3</w:t>
            </w:r>
          </w:p>
        </w:tc>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Firm SOW 3 pricing comes back outside ±10–15% band</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Supplier</w:t>
            </w:r>
          </w:p>
        </w:tc>
        <w:tc>
          <w:tcPr>
            <w:tcW w:type="dxa" w:w="24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Continuous estimation refresh as design firms; Supplier flags variance early; off-ramp clause triggered if not resolvable</w:t>
            </w:r>
          </w:p>
        </w:tc>
      </w:tr>
      <w:tr>
        <w:tc>
          <w:tcPr>
            <w:tcW w:type="dxa" w:w="6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R4</w:t>
            </w:r>
          </w:p>
        </w:tc>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Funding Envelope from S6 exceeded by firm pricing</w:t>
            </w:r>
          </w:p>
        </w:tc>
        <w:tc>
          <w:tcPr>
            <w:tcW w:type="dxa" w:w="25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Client</w:t>
            </w:r>
          </w:p>
        </w:tc>
        <w:tc>
          <w:tcPr>
            <w:tcW w:type="dxa" w:w="24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sz w:val="20"/>
                <w:szCs w:val="20"/>
              </w:rPr>
              <w:t xml:space="preserve">Sponsor briefed on emerging numbers from week 5; board paper revision option if needed</w:t>
            </w:r>
          </w:p>
        </w:tc>
      </w:tr>
    </w:tbl>
    <w:p>
      <w:pPr>
        <w:pStyle w:val="Heading2"/>
        <w:spacing w:after="140" w:before="280"/>
      </w:pPr>
      <w:r>
        <w:rPr>
          <w:b/>
          <w:bCs/>
          <w:color w:val="1F2A44"/>
          <w:sz w:val="26"/>
          <w:szCs w:val="26"/>
        </w:rPr>
        <w:t xml:space="preserve">12.2 Assumptions</w:t>
      </w:r>
    </w:p>
    <w:p>
      <w:pPr>
        <w:pStyle w:val="ListParagraph"/>
        <w:numPr>
          <w:ilvl w:val="0"/>
          <w:numId w:val="3"/>
        </w:numPr>
        <w:spacing w:after="80"/>
      </w:pPr>
      <w:r>
        <w:rPr>
          <w:sz w:val="22"/>
          <w:szCs w:val="22"/>
        </w:rPr>
        <w:t xml:space="preserve">SOW 1 Discovery output is signed and final before SOW 2 starts</w:t>
      </w:r>
    </w:p>
    <w:p>
      <w:pPr>
        <w:pStyle w:val="ListParagraph"/>
        <w:numPr>
          <w:ilvl w:val="0"/>
          <w:numId w:val="3"/>
        </w:numPr>
        <w:spacing w:after="80"/>
      </w:pPr>
      <w:r>
        <w:rPr>
          <w:sz w:val="22"/>
          <w:szCs w:val="22"/>
        </w:rPr>
        <w:t xml:space="preserve">Design Authority is formed and quorate per the DA Terms of Reference</w:t>
      </w:r>
    </w:p>
    <w:p>
      <w:pPr>
        <w:pStyle w:val="ListParagraph"/>
        <w:numPr>
          <w:ilvl w:val="0"/>
          <w:numId w:val="3"/>
        </w:numPr>
        <w:spacing w:after="80"/>
      </w:pPr>
      <w:r>
        <w:rPr>
          <w:sz w:val="22"/>
          <w:szCs w:val="22"/>
        </w:rPr>
        <w:t xml:space="preserve">Process Owners remain available for design workshops and FDD review</w:t>
      </w:r>
    </w:p>
    <w:p>
      <w:pPr>
        <w:pStyle w:val="ListParagraph"/>
        <w:numPr>
          <w:ilvl w:val="0"/>
          <w:numId w:val="3"/>
        </w:numPr>
        <w:spacing w:after="80"/>
      </w:pPr>
      <w:r>
        <w:rPr>
          <w:sz w:val="22"/>
          <w:szCs w:val="22"/>
        </w:rPr>
        <w:t>Client Solution Architect is named and available for the duration of S12</w:t>
      </w:r>
    </w:p>
    <w:p>
      <w:pPr>
        <w:pStyle w:val="Heading1"/>
        <w:spacing w:after="180" w:before="360"/>
      </w:pPr>
      <w:r>
        <w:rPr>
          <w:b/>
          <w:bCs/>
          <w:color w:val="1F2A44"/>
          <w:sz w:val="32"/>
          <w:szCs w:val="32"/>
        </w:rPr>
        <w:t xml:space="preserve">13. Termination</w:t>
      </w:r>
    </w:p>
    <w:p>
      <w:pPr>
        <w:spacing w:after="120" w:before="0"/>
      </w:pPr>
      <w:r>
        <w:t>Termination follows the MSA mechanism. See SOW 1 section 12 for the operational summary; the same applies here. Particular note for SOW 2: termination for convenience by the Client mid-S12 forfeits the ROM-to-firm conversion deliverable and the Client should consider whether SOW 1 outputs are sufficient to re-tender, or whether the engagement should be paused rather than terminated.</w:t>
      </w:r>
    </w:p>
    <w:p>
      <w:pPr>
        <w:pStyle w:val="Heading1"/>
        <w:spacing w:after="180" w:before="360"/>
      </w:pPr>
      <w:r>
        <w:rPr>
          <w:b/>
          <w:bCs/>
          <w:color w:val="1F2A44"/>
          <w:sz w:val="32"/>
          <w:szCs w:val="32"/>
        </w:rPr>
        <w:t xml:space="preserve">14. Knowledge Transfer</w:t>
      </w:r>
    </w:p>
    <w:p>
      <w:pPr>
        <w:pStyle w:val="ListParagraph"/>
        <w:numPr>
          <w:ilvl w:val="0"/>
          <w:numId w:val="3"/>
        </w:numPr>
        <w:spacing w:after="80"/>
      </w:pPr>
      <w:r>
        <w:rPr>
          <w:sz w:val="22"/>
          <w:szCs w:val="22"/>
        </w:rPr>
        <w:t xml:space="preserve">All design output materials (FDDs, integration design, data migration design, security design, infrastructure design) become Client property on creation per the MSA Foreground IP clause</w:t>
      </w:r>
    </w:p>
    <w:p>
      <w:pPr>
        <w:pStyle w:val="ListParagraph"/>
        <w:numPr>
          <w:ilvl w:val="0"/>
          <w:numId w:val="3"/>
        </w:numPr>
        <w:spacing w:after="80"/>
      </w:pPr>
      <w:r>
        <w:rPr>
          <w:sz w:val="22"/>
          <w:szCs w:val="22"/>
        </w:rPr>
        <w:t xml:space="preserve">Design Authority materials, decision logs, workshop outputs handed over to the Client at SOW closure</w:t>
      </w:r>
    </w:p>
    <w:p>
      <w:pPr>
        <w:pStyle w:val="ListParagraph"/>
        <w:numPr>
          <w:ilvl w:val="0"/>
          <w:numId w:val="3"/>
        </w:numPr>
        <w:spacing w:after="80"/>
      </w:pPr>
      <w:r>
        <w:rPr>
          <w:sz w:val="22"/>
          <w:szCs w:val="22"/>
        </w:rPr>
        <w:t xml:space="preserve">Build estimation working papers (used for D9 firm pricing) provided to the Client on request</w:t>
      </w:r>
    </w:p>
    <w:p>
      <w:pPr>
        <w:pStyle w:val="ListParagraph"/>
        <w:numPr>
          <w:ilvl w:val="0"/>
          <w:numId w:val="3"/>
        </w:numPr>
        <w:spacing w:after="80"/>
      </w:pPr>
      <w:r>
        <w:rPr>
          <w:sz w:val="22"/>
          <w:szCs w:val="22"/>
        </w:rPr>
        <w:t xml:space="preserve">Where a different SI is engaged for SOW 3, the Supplier provides reasonable handover support to the new SI on agreed unit rates</w:t>
      </w:r>
    </w:p>
    <w:p>
      <w:pPr>
        <w:pStyle w:val="Heading1"/>
        <w:spacing w:after="180" w:before="360"/>
      </w:pPr>
      <w:r>
        <w:rPr>
          <w:b/>
          <w:bCs/>
          <w:color w:val="1F2A44"/>
          <w:sz w:val="32"/>
          <w:szCs w:val="32"/>
        </w:rPr>
        <w:t xml:space="preserve">15. Signatures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Signed for and on behalf of Client</w:t>
            </w:r>
          </w:p>
        </w:tc>
        <w:tc>
          <w:tcPr>
            <w:tcW w:type="dxa" w:w="4513"/>
            <w:tcBorders>
              <w:top w:val="single" w:color="CCCCCC" w:sz="4"/>
              <w:left w:val="single" w:color="CCCCCC" w:sz="4"/>
              <w:bottom w:val="single" w:color="CCCCCC" w:sz="4"/>
              <w:right w:val="single" w:color="CCCCCC" w:sz="4"/>
            </w:tcBorders>
            <w:shd w:fill="1F2A44" w:val="clear"/>
            <w:tcMar>
              <w:top w:type="dxa" w:w="80"/>
              <w:left w:type="dxa" w:w="120"/>
              <w:bottom w:type="dxa" w:w="80"/>
              <w:right w:type="dxa" w:w="120"/>
            </w:tcMar>
          </w:tcPr>
          <w:p>
            <w:r>
              <w:rPr>
                <w:b/>
                <w:bCs/>
                <w:color w:val="FFFFFF"/>
                <w:sz w:val="20"/>
                <w:szCs w:val="20"/>
              </w:rPr>
              <w:t xml:space="preserve">Signed for and on behalf of Supplier</w:t>
            </w:r>
          </w:p>
        </w:tc>
      </w:tr>
      <w:tr>
        <w:tc>
          <w:tcPr>
            <w:tcW w:type="dxa" w:w="451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60" w:before="240"/>
            </w:pPr>
            <w:r>
              <w:t xml:space="preserve">Name: ___________________________</w:t>
            </w:r>
          </w:p>
          <w:p>
            <w:pPr>
              <w:spacing w:after="60"/>
            </w:pPr>
            <w:r>
              <w:t xml:space="preserve">Title: ___________________________</w:t>
            </w:r>
          </w:p>
          <w:p>
            <w:pPr>
              <w:spacing w:after="60"/>
            </w:pPr>
            <w:r>
              <w:t xml:space="preserve">Signature: _______________________</w:t>
            </w:r>
          </w:p>
          <w:p>
            <w:pPr>
              <w:spacing w:after="240"/>
            </w:pPr>
            <w:r>
              <w:t xml:space="preserve">Date: ___________________________</w:t>
            </w:r>
          </w:p>
        </w:tc>
        <w:tc>
          <w:tcPr>
            <w:tcW w:type="dxa" w:w="4513"/>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60" w:before="240"/>
            </w:pPr>
            <w:r>
              <w:t xml:space="preserve">Name: ___________________________</w:t>
            </w:r>
          </w:p>
          <w:p>
            <w:pPr>
              <w:spacing w:after="60"/>
            </w:pPr>
            <w:r>
              <w:t xml:space="preserve">Title: ___________________________</w:t>
            </w:r>
          </w:p>
          <w:p>
            <w:pPr>
              <w:spacing w:after="60"/>
            </w:pPr>
            <w:r>
              <w:t xml:space="preserve">Signature: _______________________</w:t>
            </w:r>
          </w:p>
          <w:p>
            <w:pPr>
              <w:spacing w:after="240"/>
            </w:pPr>
            <w:r>
              <w:t xml:space="preserve">Date: ___________________________</w:t>
            </w:r>
          </w:p>
        </w:tc>
      </w:tr>
    </w:tbl>
    <w:p>
      <w:pPr>
        <w:spacing w:after="120" w:before="0"/>
      </w:pPr>
      <w:r>
        <w:t xml:space="preserve">Counter-signed by Client Procurement: ___________________________  Date: __________</w:t>
      </w:r>
    </w:p>
    <w:sectPr>
      <w:headerReference w:type="default" r:id="rId7"/>
      <w:footerReference w:type="default" r:id="rId8"/>
      <w:headerReference w:type="first" r:id="rId10"/>
      <w:headerReference w:type="even" r:id="rId11"/>
      <w:footerReference w:type="first" r:id="rId12"/>
      <w:footerReference w:type="even" r:id="rId13"/>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06B80"/>
        <w:sz w:val="16"/>
        <w:szCs w:val="16"/>
      </w:rPr>
      <w:t xml:space="preserve">Page </w:t>
    </w:r>
    <w:r>
      <w:rPr>
        <w:color w:val="606B80"/>
        <w:sz w:val="16"/>
        <w:szCs w:val="16"/>
      </w:rPr>
      <w:fldChar w:fldCharType="begin"/>
      <w:instrText xml:space="preserve">PAGE</w:instrText>
      <w:fldChar w:fldCharType="separate"/>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06B80"/>
        <w:sz w:val="16"/>
        <w:szCs w:val="16"/>
      </w:rPr>
      <w:t>ERP Method · SOW 2 — Design (S12)</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2A44"/>
      <w:sz w:val="32"/>
      <w:szCs w:val="32"/>
    </w:rPr>
  </w:style>
  <w:style w:type="paragraph" w:styleId="Heading2">
    <w:name w:val="Heading 2"/>
    <w:basedOn w:val="Normal"/>
    <w:next w:val="Normal"/>
    <w:qFormat/>
    <w:pPr>
      <w:spacing w:after="140" w:before="280"/>
      <w:outlineLvl w:val="1"/>
    </w:pPr>
    <w:rPr>
      <w:rFonts w:ascii="Calibri" w:cs="Calibri" w:eastAsia="Calibri" w:hAnsi="Calibri"/>
      <w:b/>
      <w:bCs/>
      <w:color w:val="1F2A44"/>
      <w:sz w:val="26"/>
      <w:szCs w:val="26"/>
    </w:rPr>
  </w:style>
  <w:style w:type="paragraph" w:styleId="Heading3">
    <w:name w:val="Heading 3"/>
    <w:basedOn w:val="Normal"/>
    <w:next w:val="Normal"/>
    <w:qFormat/>
    <w:pPr>
      <w:spacing w:after="100" w:before="200"/>
      <w:outlineLvl w:val="2"/>
    </w:pPr>
    <w:rPr>
      <w:rFonts w:ascii="Calibri" w:cs="Calibri" w:eastAsia="Calibri" w:hAnsi="Calibri"/>
      <w:b/>
      <w:bCs/>
      <w:color w:val="2C4F8F"/>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2026-04-30T13:05:08.880Z</dcterms:created>
  <dcterms:modified xsi:type="dcterms:W3CDTF">2026-04-30T13:05:08.880Z</dcterms:modified>
</cp:coreProperties>
</file>

<file path=docProps/custom.xml><?xml version="1.0" encoding="utf-8"?>
<Properties xmlns="http://schemas.openxmlformats.org/officeDocument/2006/custom-properties" xmlns:vt="http://schemas.openxmlformats.org/officeDocument/2006/docPropsVTypes"/>
</file>