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0"/>
          <w:szCs w:val="40"/>
        </w:rPr>
        <w:t xml:space="preserve">Statement of Work 3</w:t>
      </w:r>
    </w:p>
    <w:p>
      <w:pPr>
        <w:spacing w:after="120"/>
        <w:jc w:val="center"/>
      </w:pPr>
      <w:r>
        <w:rPr>
          <w:b/>
          <w:bCs/>
          <w:color w:val="1F2A44"/>
          <w:sz w:val="30"/>
          <w:szCs w:val="30"/>
        </w:rPr>
        <w:t xml:space="preserve">Build, Test, Deploy, Hypercare — Stages 13–17</w:t>
      </w:r>
    </w:p>
    <w:p>
      <w:pPr>
        <w:spacing w:after="480"/>
        <w:jc w:val="center"/>
      </w:pPr>
      <w:r>
        <w:rPr>
          <w:i/>
          <w:iCs/>
          <w:color w:val="606B80"/>
          <w:sz w:val="22"/>
          <w:szCs w:val="22"/>
        </w:rPr>
        <w:t xml:space="preserve">Template — adapt for the specific engagement. Legal and Procurement own final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PRE-SIGNATURE CHECKLIST</w:t>
            </w:r>
          </w:p>
          <w:p>
            <w:r>
              <w:rPr>
                <w:sz w:val="22"/>
                <w:szCs w:val="22"/>
              </w:rPr>
              <w:t>Before signing this SOW, confirm: (a) SOW 2 (Design) is closed and the Solution Design Document is signed; (b) Firm pricing for SOW 3 is delivered at ±10–15%; (c) Full Business Case approved by Client board at Gate 2; (d) MSA in place; (e) Legal and Procurement approved; (f) Named Supplier personnel from SOW 2 confirmed for SOW 3 with minimum commitments; (g) Client roles for delivery (Process Owners, Client Test Manager, Cutover Lead, Hypercare Lead, Application Owner) are confirmed and resourced.</w:t>
            </w:r>
          </w:p>
        </w:tc>
      </w:tr>
    </w:tbl>
    <w:p>
      <w:pPr>
        <w:pStyle w:val="Heading1"/>
        <w:spacing w:after="180" w:before="360"/>
      </w:pPr>
      <w:r>
        <w:rPr>
          <w:b/>
          <w:bCs/>
          <w:color w:val="1F2A44"/>
          <w:sz w:val="32"/>
          <w:szCs w:val="32"/>
        </w:rPr>
        <w:t xml:space="preserve">1. Document Control</w:t>
      </w:r>
    </w:p>
    <w:p>
      <w:pPr>
        <w:pStyle w:val="Heading2"/>
        <w:spacing w:after="140" w:before="280"/>
      </w:pPr>
      <w:r>
        <w:rPr>
          <w:b/>
          <w:bCs/>
          <w:color w:val="1F2A44"/>
          <w:sz w:val="26"/>
          <w:szCs w:val="26"/>
        </w:rPr>
        <w:t xml:space="preserve">1.1 Versions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Version</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Date</w:t>
            </w:r>
          </w:p>
        </w:tc>
        <w:tc>
          <w:tcPr>
            <w:tcW w:type="dxa" w:w="2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Author</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Change</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[Draft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draft</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[Sign-off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 Supplier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Approved version for signature</w:t>
            </w:r>
          </w:p>
        </w:tc>
      </w:tr>
    </w:tbl>
    <w:p>
      <w:pPr>
        <w:pStyle w:val="Heading1"/>
        <w:spacing w:after="180" w:before="360"/>
      </w:pPr>
      <w:r>
        <w:rPr>
          <w:b/>
          <w:bCs/>
          <w:color w:val="1F2A44"/>
          <w:sz w:val="32"/>
          <w:szCs w:val="32"/>
        </w:rPr>
        <w:t xml:space="preserve">2. Parties and MSA reference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STANDARD MSA REFERENCE CLAUSE</w:t>
            </w:r>
          </w:p>
          <w:p>
            <w:r>
              <w:rPr>
                <w:sz w:val="22"/>
                <w:szCs w:val="22"/>
              </w:rPr>
              <w:t xml:space="preserve">This Statement of Work is executed under and governed by the Master Services Agreement (MSA) dated [DATE] between [CLIENT NAME] ("Client") and [SI NAME] ("Supplier"). All capitalised terms used and not defined in this SOW have the meanings given in the MSA. In the event of conflict between this SOW and the MSA, the MSA prevails except where this SOW expressly varies its terms in respect of this engagement only.</w:t>
            </w:r>
          </w:p>
        </w:tc>
      </w:tr>
    </w:tbl>
    <w:p>
      <w:pPr>
        <w:spacing w:after="120" w:before="0"/>
      </w:pPr>
      <w:r>
        <w:t xml:space="preserve">This is the third and largest SOW in the suite. It covers Stages 13 through 17 (Build, Test, Deploy/Cutover, Go-Live, Hypercare). It is signed only after the Full Business Case has been approved at Gate 2 and the Client has committed to build.</w:t>
      </w:r>
    </w:p>
    <w:p>
      <w:pPr>
        <w:pStyle w:val="Heading1"/>
        <w:spacing w:after="180" w:before="360"/>
      </w:pPr>
      <w:r>
        <w:rPr>
          <w:b/>
          <w:bCs/>
          <w:color w:val="1F2A44"/>
          <w:sz w:val="32"/>
          <w:szCs w:val="32"/>
        </w:rPr>
        <w:t xml:space="preserve">3. SOW Purpose and Scope</w:t>
      </w:r>
    </w:p>
    <w:p>
      <w:pPr>
        <w:pStyle w:val="Heading2"/>
        <w:spacing w:after="140" w:before="280"/>
      </w:pPr>
      <w:r>
        <w:rPr>
          <w:b/>
          <w:bCs/>
          <w:color w:val="1F2A44"/>
          <w:sz w:val="26"/>
          <w:szCs w:val="26"/>
        </w:rPr>
        <w:t xml:space="preserve">3.1 Purpose</w:t>
      </w:r>
    </w:p>
    <w:p>
      <w:pPr>
        <w:spacing w:after="120" w:before="0"/>
      </w:pPr>
      <w:r>
        <w:t xml:space="preserve">This SOW covers the Build, Test, Deploy, Go-Live and Hypercare phases of the engagement. The objectives are:</w:t>
      </w:r>
    </w:p>
    <w:p>
      <w:pPr>
        <w:pStyle w:val="ListParagraph"/>
        <w:numPr>
          <w:ilvl w:val="0"/>
          <w:numId w:val="2"/>
        </w:numPr>
        <w:spacing w:after="80"/>
      </w:pPr>
      <w:r>
        <w:rPr>
          <w:sz w:val="22"/>
          <w:szCs w:val="22"/>
        </w:rPr>
        <w:t xml:space="preserve">Build and configure the solution per the signed Solution Design Document (SDD) from SOW 2</w:t>
      </w:r>
    </w:p>
    <w:p>
      <w:pPr>
        <w:pStyle w:val="ListParagraph"/>
        <w:numPr>
          <w:ilvl w:val="0"/>
          <w:numId w:val="2"/>
        </w:numPr>
        <w:spacing w:after="80"/>
      </w:pPr>
      <w:r>
        <w:rPr>
          <w:sz w:val="22"/>
          <w:szCs w:val="22"/>
        </w:rPr>
        <w:t xml:space="preserve">Run the full test cycle: SAT, SIT, UAT (user-led), BAT (Process Owner-led), NFT (parallel)</w:t>
      </w:r>
    </w:p>
    <w:p>
      <w:pPr>
        <w:pStyle w:val="ListParagraph"/>
        <w:numPr>
          <w:ilvl w:val="0"/>
          <w:numId w:val="2"/>
        </w:numPr>
        <w:spacing w:after="80"/>
      </w:pPr>
      <w:r>
        <w:rPr>
          <w:sz w:val="22"/>
          <w:szCs w:val="22"/>
        </w:rPr>
        <w:t xml:space="preserve">Plan, rehearse and execute cutover with documented runbook and rollback</w:t>
      </w:r>
    </w:p>
    <w:p>
      <w:pPr>
        <w:pStyle w:val="ListParagraph"/>
        <w:numPr>
          <w:ilvl w:val="0"/>
          <w:numId w:val="2"/>
        </w:numPr>
        <w:spacing w:after="80"/>
      </w:pPr>
      <w:r>
        <w:rPr>
          <w:sz w:val="22"/>
          <w:szCs w:val="22"/>
        </w:rPr>
        <w:t xml:space="preserve">Go-Live with the Executive Sponsor's go/no-go decision</w:t>
      </w:r>
    </w:p>
    <w:p>
      <w:pPr>
        <w:pStyle w:val="ListParagraph"/>
        <w:numPr>
          <w:ilvl w:val="0"/>
          <w:numId w:val="2"/>
        </w:numPr>
        <w:spacing w:after="80"/>
      </w:pPr>
      <w:r>
        <w:rPr>
          <w:sz w:val="22"/>
          <w:szCs w:val="22"/>
        </w:rPr>
        <w:t xml:space="preserve">Run Hypercare to defined exit criteria with structured BAU transition</w:t>
      </w:r>
    </w:p>
    <w:p>
      <w:pPr>
        <w:pStyle w:val="Heading2"/>
        <w:spacing w:after="140" w:before="280"/>
      </w:pPr>
      <w:r>
        <w:rPr>
          <w:b/>
          <w:bCs/>
          <w:color w:val="1F2A44"/>
          <w:sz w:val="26"/>
          <w:szCs w:val="26"/>
        </w:rPr>
        <w:t xml:space="preserve">3.2 In scope</w:t>
      </w:r>
    </w:p>
    <w:p>
      <w:pPr>
        <w:pStyle w:val="ListParagraph"/>
        <w:numPr>
          <w:ilvl w:val="0"/>
          <w:numId w:val="3"/>
        </w:numPr>
        <w:spacing w:after="80"/>
      </w:pPr>
      <w:r>
        <w:rPr>
          <w:sz w:val="22"/>
          <w:szCs w:val="22"/>
        </w:rPr>
        <w:t>Build &amp; Configuration (S13) — Build &amp; Configuration: sprint-based build per signed SDD, FAT execution by Supplier Tester, Mini-BAT walk-throughs, continuous regression</w:t>
      </w:r>
    </w:p>
    <w:p>
      <w:pPr>
        <w:pStyle w:val="ListParagraph"/>
        <w:numPr>
          <w:ilvl w:val="0"/>
          <w:numId w:val="3"/>
        </w:numPr>
        <w:spacing w:after="80"/>
      </w:pPr>
      <w:r>
        <w:rPr>
          <w:sz w:val="22"/>
          <w:szCs w:val="22"/>
        </w:rPr>
        <w:t>Testing (S14) — Testing: SAT (3 cycles), SIT (including 3rd-party integration), Pre-UAT script authoring, UAT (Client user-led), BAT (Process Owner-led), NFT (Performance, Security, DR/BCP) in parallel</w:t>
      </w:r>
    </w:p>
    <w:p>
      <w:pPr>
        <w:pStyle w:val="ListParagraph"/>
        <w:numPr>
          <w:ilvl w:val="0"/>
          <w:numId w:val="3"/>
        </w:numPr>
        <w:spacing w:after="80"/>
      </w:pPr>
      <w:r>
        <w:rPr>
          <w:sz w:val="22"/>
          <w:szCs w:val="22"/>
        </w:rPr>
        <w:t>Cutover Planning (S15) — Cutover Planning: cutover runbook, two minimum data migration dry runs, business readiness review, comms and training final pass</w:t>
      </w:r>
    </w:p>
    <w:p>
      <w:pPr>
        <w:pStyle w:val="ListParagraph"/>
        <w:numPr>
          <w:ilvl w:val="0"/>
          <w:numId w:val="3"/>
        </w:numPr>
        <w:spacing w:after="80"/>
      </w:pPr>
      <w:r>
        <w:rPr>
          <w:sz w:val="22"/>
          <w:szCs w:val="22"/>
        </w:rPr>
        <w:t>Deployment &amp; Go-Live (S16) — Deployment &amp; Go-Live: Executive Sponsor go/no-go, cutover execution, final data migration, war-room operations, Day-1 stabilisation</w:t>
      </w:r>
    </w:p>
    <w:p>
      <w:pPr>
        <w:pStyle w:val="ListParagraph"/>
        <w:numPr>
          <w:ilvl w:val="0"/>
          <w:numId w:val="3"/>
        </w:numPr>
        <w:spacing w:after="80"/>
      </w:pPr>
      <w:r>
        <w:rPr>
          <w:sz w:val="22"/>
          <w:szCs w:val="22"/>
        </w:rPr>
        <w:t>Hypercare &amp; Stabilisation (S17) — Hypercare &amp; Stabilisation: hypercare command centre, daily defect triage, BAU transition planning, lessons-learned capture, Hypercare Exit</w:t>
      </w:r>
    </w:p>
    <w:p>
      <w:pPr>
        <w:pStyle w:val="ListParagraph"/>
        <w:numPr>
          <w:ilvl w:val="0"/>
          <w:numId w:val="3"/>
        </w:numPr>
        <w:spacing w:after="80"/>
      </w:pPr>
      <w:r>
        <w:rPr>
          <w:sz w:val="22"/>
          <w:szCs w:val="22"/>
        </w:rPr>
        <w:t xml:space="preserve">Knowledge Transfer to Client BAU support team throughout</w:t>
      </w:r>
    </w:p>
    <w:p>
      <w:pPr>
        <w:pStyle w:val="Heading2"/>
        <w:spacing w:after="140" w:before="280"/>
      </w:pPr>
      <w:r>
        <w:rPr>
          <w:b/>
          <w:bCs/>
          <w:color w:val="1F2A44"/>
          <w:sz w:val="26"/>
          <w:szCs w:val="26"/>
        </w:rPr>
        <w:t xml:space="preserve">3.3 Out of scope</w:t>
      </w:r>
    </w:p>
    <w:p>
      <w:pPr>
        <w:pStyle w:val="ListParagraph"/>
        <w:numPr>
          <w:ilvl w:val="0"/>
          <w:numId w:val="3"/>
        </w:numPr>
        <w:spacing w:after="80"/>
      </w:pPr>
      <w:r>
        <w:rPr>
          <w:sz w:val="22"/>
          <w:szCs w:val="22"/>
        </w:rPr>
        <w:t xml:space="preserve">Discovery (covered by SOW 1) and Solution Design (covered by SOW 2)</w:t>
      </w:r>
    </w:p>
    <w:p>
      <w:pPr>
        <w:pStyle w:val="ListParagraph"/>
        <w:numPr>
          <w:ilvl w:val="0"/>
          <w:numId w:val="3"/>
        </w:numPr>
        <w:spacing w:after="80"/>
      </w:pPr>
      <w:r>
        <w:rPr>
          <w:sz w:val="22"/>
          <w:szCs w:val="22"/>
        </w:rPr>
        <w:t xml:space="preserve">Stage 18 (Benefits Realisation &amp; Review) and Stage 19 (Optimisation &amp; Maturity) — typically covered by separate engagements</w:t>
      </w:r>
    </w:p>
    <w:p>
      <w:pPr>
        <w:pStyle w:val="ListParagraph"/>
        <w:numPr>
          <w:ilvl w:val="0"/>
          <w:numId w:val="3"/>
        </w:numPr>
        <w:spacing w:after="80"/>
      </w:pPr>
      <w:r>
        <w:rPr>
          <w:sz w:val="22"/>
          <w:szCs w:val="22"/>
        </w:rPr>
        <w:t xml:space="preserve">End-user training delivery — Supplier provides Train-the-Trainer support; Client cascades to end users</w:t>
      </w:r>
    </w:p>
    <w:p>
      <w:pPr>
        <w:pStyle w:val="ListParagraph"/>
        <w:numPr>
          <w:ilvl w:val="0"/>
          <w:numId w:val="3"/>
        </w:numPr>
        <w:spacing w:after="80"/>
      </w:pPr>
      <w:r>
        <w:rPr>
          <w:sz w:val="22"/>
          <w:szCs w:val="22"/>
        </w:rPr>
        <w:t xml:space="preserve">Client-side change management, comms, organisational change — Client's Change Lead owns</w:t>
      </w:r>
    </w:p>
    <w:p>
      <w:r>
        <w:br w:type="page"/>
      </w:r>
    </w:p>
    <w:p>
      <w:pPr>
        <w:pStyle w:val="Heading1"/>
        <w:spacing w:after="180" w:before="360"/>
      </w:pPr>
      <w:r>
        <w:rPr>
          <w:b/>
          <w:bCs/>
          <w:color w:val="1F2A44"/>
          <w:sz w:val="32"/>
          <w:szCs w:val="32"/>
        </w:rPr>
        <w:t xml:space="preserve">4. Approach</w:t>
      </w:r>
    </w:p>
    <w:p>
      <w:pPr>
        <w:pStyle w:val="Heading2"/>
        <w:spacing w:after="140" w:before="280"/>
      </w:pPr>
      <w:r>
        <w:rPr>
          <w:b/>
          <w:bCs/>
          <w:color w:val="1F2A44"/>
          <w:sz w:val="26"/>
          <w:szCs w:val="26"/>
        </w:rPr>
        <w:t xml:space="preserve">4.1 Sprint-based build with Mini-BAT cadence</w:t>
      </w:r>
    </w:p>
    <w:p>
      <w:pPr>
        <w:spacing w:after="120" w:before="0"/>
      </w:pPr>
      <w:r>
        <w:t xml:space="preserve">Build proceeds in time-boxed sprints (typically 2–3 weeks) per the agreed sprint plan. Each sprint delivers a defined set of Features against the SDD. FAT (Functional Acceptance Test) is executed within each sprint by the Supplier's Tester; Process Owners attend sprint reviews and accept Features. Mini-BAT walk-throughs run bi-weekly, with Process Owners and Benefit Owners walking through end-to-end scenarios.</w:t>
      </w:r>
    </w:p>
    <w:p>
      <w:pPr>
        <w:pStyle w:val="Heading2"/>
        <w:spacing w:after="140" w:before="280"/>
      </w:pPr>
      <w:r>
        <w:rPr>
          <w:b/>
          <w:bCs/>
          <w:color w:val="1F2A44"/>
          <w:sz w:val="26"/>
          <w:szCs w:val="26"/>
        </w:rPr>
        <w:t>4.2 Test approach (S14)</w:t>
      </w:r>
    </w:p>
    <w:p>
      <w:pPr>
        <w:spacing w:after="120" w:before="0"/>
      </w:pPr>
      <w:r>
        <w:t xml:space="preserve">Testing runs as a sequential pipeline with NFT in parallel:</w:t>
      </w:r>
    </w:p>
    <w:p>
      <w:pPr>
        <w:pStyle w:val="ListParagraph"/>
        <w:numPr>
          <w:ilvl w:val="0"/>
          <w:numId w:val="2"/>
        </w:numPr>
        <w:spacing w:after="80"/>
      </w:pPr>
      <w:r>
        <w:rPr>
          <w:sz w:val="22"/>
          <w:szCs w:val="22"/>
        </w:rPr>
        <w:t xml:space="preserve">SAT (System Acceptance Test) — three cycles run by Supplier to stabilise the build before user testing</w:t>
      </w:r>
    </w:p>
    <w:p>
      <w:pPr>
        <w:pStyle w:val="ListParagraph"/>
        <w:numPr>
          <w:ilvl w:val="0"/>
          <w:numId w:val="2"/>
        </w:numPr>
        <w:spacing w:after="80"/>
      </w:pPr>
      <w:r>
        <w:rPr>
          <w:sz w:val="22"/>
          <w:szCs w:val="22"/>
        </w:rPr>
        <w:t xml:space="preserve">SIT (System Integration Test) — including third-party systems; Supplier-led with Client-side validation</w:t>
      </w:r>
    </w:p>
    <w:p>
      <w:pPr>
        <w:pStyle w:val="ListParagraph"/>
        <w:numPr>
          <w:ilvl w:val="0"/>
          <w:numId w:val="2"/>
        </w:numPr>
        <w:spacing w:after="80"/>
      </w:pPr>
      <w:r>
        <w:rPr>
          <w:sz w:val="22"/>
          <w:szCs w:val="22"/>
        </w:rPr>
        <w:t>Pre-UAT script authoring — Process Owners and Client Test Manager author UAT scripts; Supplier supports</w:t>
      </w:r>
    </w:p>
    <w:p>
      <w:pPr>
        <w:pStyle w:val="ListParagraph"/>
        <w:numPr>
          <w:ilvl w:val="0"/>
          <w:numId w:val="2"/>
        </w:numPr>
        <w:spacing w:after="80"/>
      </w:pPr>
      <w:r>
        <w:rPr>
          <w:sz w:val="22"/>
          <w:szCs w:val="22"/>
        </w:rPr>
        <w:t>UAT (User Acceptance Test) — Client user-led, governed by Client Test Manager; not the Supplier's responsibility to run UAT</w:t>
      </w:r>
    </w:p>
    <w:p>
      <w:pPr>
        <w:pStyle w:val="ListParagraph"/>
        <w:numPr>
          <w:ilvl w:val="0"/>
          <w:numId w:val="2"/>
        </w:numPr>
        <w:spacing w:after="80"/>
      </w:pPr>
      <w:r>
        <w:rPr>
          <w:sz w:val="22"/>
          <w:szCs w:val="22"/>
        </w:rPr>
        <w:t xml:space="preserve">BAT (Business Acceptance Test) — Process Owner and Senior User-led, against operational scenarios — month-end, peak load, exception handling</w:t>
      </w:r>
    </w:p>
    <w:p>
      <w:pPr>
        <w:pStyle w:val="ListParagraph"/>
        <w:numPr>
          <w:ilvl w:val="0"/>
          <w:numId w:val="2"/>
        </w:numPr>
        <w:spacing w:after="80"/>
      </w:pPr>
      <w:r>
        <w:rPr>
          <w:sz w:val="22"/>
          <w:szCs w:val="22"/>
        </w:rPr>
        <w:t xml:space="preserve">NFT (Non-Functional Test) — Performance, Security, DR/BCP testing — runs in parallel to SIT/UAT/BAT, separate exit criteria</w:t>
      </w:r>
    </w:p>
    <w:p>
      <w:pPr>
        <w:pStyle w:val="Heading2"/>
        <w:spacing w:after="140" w:before="280"/>
      </w:pPr>
      <w:r>
        <w:rPr>
          <w:b/>
          <w:bCs/>
          <w:color w:val="1F2A44"/>
          <w:sz w:val="26"/>
          <w:szCs w:val="26"/>
        </w:rPr>
        <w:t xml:space="preserve">4.3 Cutover and Go-Live (Stages 15–16)</w:t>
      </w:r>
    </w:p>
    <w:p>
      <w:pPr>
        <w:spacing w:after="120" w:before="0"/>
      </w:pPr>
      <w:r>
        <w:t xml:space="preserve">Cutover Plan is co-authored by Client Cutover Lead and Supplier Cutover Lead. Two minimum dry runs against full data volumes. Final dress rehearsal with timing measured. Go-Live executed under Executive Sponsor's binary go/no-go decision (the GLG).</w:t>
      </w:r>
    </w:p>
    <w:p>
      <w:pPr>
        <w:pStyle w:val="Heading2"/>
        <w:spacing w:after="140" w:before="280"/>
      </w:pPr>
      <w:r>
        <w:rPr>
          <w:b/>
          <w:bCs/>
          <w:color w:val="1F2A44"/>
          <w:sz w:val="26"/>
          <w:szCs w:val="26"/>
        </w:rPr>
        <w:t>4.4 Hypercare (S17)</w:t>
      </w:r>
    </w:p>
    <w:p>
      <w:pPr>
        <w:spacing w:after="120" w:before="0"/>
      </w:pPr>
      <w:r>
        <w:t xml:space="preserve">Hypercare runs from Go-Live for a defined period (typically 4–8 weeks) under a dedicated command centre. Daily defect triage with Programme + Supplier. Hypercare Exit is criteria-based, not date-based — see section 11.</w:t>
      </w:r>
    </w:p>
    <w:p>
      <w:pPr>
        <w:pStyle w:val="Heading1"/>
        <w:spacing w:after="180" w:before="360"/>
      </w:pPr>
      <w:r>
        <w:rPr>
          <w:b/>
          <w:bCs/>
          <w:color w:val="1F2A44"/>
          <w:sz w:val="32"/>
          <w:szCs w:val="32"/>
        </w:rPr>
        <w:t xml:space="preserve">5. Deliverables by Stage</w:t>
      </w:r>
    </w:p>
    <w:p>
      <w:pPr>
        <w:pStyle w:val="Heading2"/>
        <w:spacing w:after="140" w:before="280"/>
      </w:pPr>
      <w:r>
        <w:rPr>
          <w:b/>
          <w:bCs/>
          <w:color w:val="1F2A44"/>
          <w:sz w:val="26"/>
          <w:szCs w:val="26"/>
        </w:rPr>
        <w:t xml:space="preserve">5.1 Stage 13 (Build &amp; Configuration)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Sprint Plan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Time-boxed sprint plan with Feature allocation, dependencies, sequencing</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Configured Solution per Sprint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Configuration delivered against SDD, sprint by sprint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FAT Sign-off per Feature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Documented FAT sign-off per Feature, accepted at sprint review by Process Owner</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Integration Build (S13 portion)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components built and unit-tested per design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Migration Build + Dry Run 1</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Migration scripts built, Dry Run 1 executed, defects logged</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Mini-BAT outcomes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Bi-weekly Mini-BAT walk-throughs, with documented findings and resolution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D1.7</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Build Complete Sign-off (Checkpoint)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S13 exit checkpoint — all sprints delivered, FAT signed, Mini-BAT closed</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pPr>
        <w:pStyle w:val="Heading2"/>
        <w:spacing w:after="140" w:before="280"/>
      </w:pPr>
      <w:r>
        <w:rPr>
          <w:b/>
          <w:bCs/>
          <w:color w:val="1F2A44"/>
          <w:sz w:val="26"/>
          <w:szCs w:val="26"/>
        </w:rPr>
        <w:t xml:space="preserve">5.2 Stage 14 (Testing)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SAT Completion (3 cycles)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Three SAT cycles executed by Supplier, completion report and defect log</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SIT Completion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Full SIT including third-party systems; sign-off by Client Test Manager and Supplier Solution Architect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Pre-UAT scripts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UAT scripts authored by Process Owners with Client Test Manager support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UAT Completion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Client-led UAT executed; sign-off by Process Owners per requirement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BAT Completion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Process Owner + Senior User-led BAT against operational scenarios; sign-off by Benefit Owners</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NFT Completion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Performance, Security, DR/BCP testing; results signed by IT Ops + Solution Architect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D2.7</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Migration Dry Run 2 (full volume)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Second dry run against production volumes with reconciliation report</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D2.8</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Test Exit Sign-off (Checkpoint)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Testing (S14) exit checkpoint — zero P1; zero P2 unless workaround agreed and documented; all sign-off certificates issued</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pPr>
        <w:pStyle w:val="Heading2"/>
        <w:spacing w:after="140" w:before="280"/>
      </w:pPr>
      <w:r>
        <w:rPr>
          <w:b/>
          <w:bCs/>
          <w:color w:val="1F2A44"/>
          <w:sz w:val="26"/>
          <w:szCs w:val="26"/>
        </w:rPr>
        <w:t xml:space="preserve">5.3 Stage 15 (Cutover Planning)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Runbook</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Minute-by-minute cutover plan, owners per step, dependencies, contingencies, rollback</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Final Dress Rehearsal</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Full cutover dress rehearsal with timing measured, contingencies tested</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Business Readiness Sign-off</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Signed declaration that business is ready: training complete, comms cascaded, support coverage in place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Comms and Training Final Pass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Final wave of comms and training delivered before Go-Live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Readiness (Checkpoint)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S15 exit checkpoint — runbook signed, dress rehearsal complete, business ready</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r>
        <w:br w:type="page"/>
      </w:r>
    </w:p>
    <w:p>
      <w:pPr>
        <w:pStyle w:val="Heading2"/>
        <w:spacing w:after="140" w:before="280"/>
      </w:pPr>
      <w:r>
        <w:rPr>
          <w:b/>
          <w:bCs/>
          <w:color w:val="1F2A44"/>
          <w:sz w:val="26"/>
          <w:szCs w:val="26"/>
        </w:rPr>
        <w:t xml:space="preserve">5.4 Stage 16 (Deployment &amp; Go-Live)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Executive Go/No-Go Decision (GLG)</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Executive Sponsor's binary go/no-go decision against documented criteria</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Execution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Runbook executed end-to-end with war-room governance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Final Data Migration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Cutover-day migration with reconciliation against source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System Live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System operational for all users, initial transactions completing successfully</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Day-1 Operations Stable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48-hour intensive monitoring; P1 SLA enforced; defect log live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Cutover Post-Mortem</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Within 7 days of Go-Live, initial post-mortem capturing what went well, what went wrong, lessons</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pPr>
        <w:pStyle w:val="Heading2"/>
        <w:spacing w:after="140" w:before="280"/>
      </w:pPr>
      <w:r>
        <w:rPr>
          <w:b/>
          <w:bCs/>
          <w:color w:val="1F2A44"/>
          <w:sz w:val="26"/>
          <w:szCs w:val="26"/>
        </w:rPr>
        <w:t xml:space="preserve">5.5 Stage 17 (Hypercare &amp; Stabilisation)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Command Centre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Daily war-room with Programme + Supplier; defect prioritisation and resolution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Daily Defect Triage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All reported defects triaged daily with priority, owner, target resolution</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BAU Transition Plan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Documented handover plan from Programme to BAU including KT artefacts and BAU readiness criteria</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Lessons Learned</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Programme-wide lessons capture, distributed to Steering and Sponsor</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Exit Report</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Documented evidence that Hypercare exit criteria are met (see section 11)</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Defect Backlog cleared/transitioned</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All open defects either resolved or formally transitioned to BAU backlog</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r>
        <w:br w:type="page"/>
      </w:r>
    </w:p>
    <w:p>
      <w:pPr>
        <w:pStyle w:val="Heading1"/>
        <w:spacing w:after="180" w:before="360"/>
      </w:pPr>
      <w:r>
        <w:rPr>
          <w:b/>
          <w:bCs/>
          <w:color w:val="1F2A44"/>
          <w:sz w:val="32"/>
          <w:szCs w:val="32"/>
        </w:rPr>
        <w:t xml:space="preserve">6. RACI Summary</w:t>
      </w:r>
    </w:p>
    <w:p>
      <w:pPr>
        <w:spacing w:after="120" w:before="0"/>
      </w:pPr>
      <w:r>
        <w:t xml:space="preserve">Detailed RACI per stage is held in the Programme RACI document. The summary at SOW level 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526"/>
      </w:tblGrid>
      <w:tr>
        <w:trPr>
          <w:tblHeader/>
        </w:trPr>
        <w:tc>
          <w:tcPr>
            <w:tcW w:type="dxa" w:w="3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Activity</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Sponsor</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Client PM</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Supplier PD</w:t>
            </w:r>
          </w:p>
        </w:tc>
        <w:tc>
          <w:tcPr>
            <w:tcW w:type="dxa" w:w="15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Sprint planning + delivery</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Feature acceptance at sprint review</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Process Owners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UAT planning and execution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 Client Test Manager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BAT planning and execution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Process Owners + Benefit Owners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NFT planning and execution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 IT Ops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Test Exit checkpoint sign-off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Client Test Manager + DA</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Runbook authoring</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Leads (Client + Supplier)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Dress Rehearsal</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Leads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Executive Go/No-Go Decision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Executive Sponsor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Execution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Cutover Leads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command centre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Lead + Supplier PD</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Exit certification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Lead + Application Owner</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BAU transition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Application Owner</w:t>
            </w:r>
          </w:p>
        </w:tc>
      </w:tr>
    </w:tbl>
    <w:p>
      <w:pPr>
        <w:pStyle w:val="Heading1"/>
        <w:spacing w:after="180" w:before="360"/>
      </w:pPr>
      <w:r>
        <w:rPr>
          <w:b/>
          <w:bCs/>
          <w:color w:val="1F2A44"/>
          <w:sz w:val="32"/>
          <w:szCs w:val="32"/>
        </w:rPr>
        <w:t xml:space="preserve">7. Pricing</w:t>
      </w:r>
    </w:p>
    <w:p>
      <w:pPr>
        <w:pStyle w:val="Heading2"/>
        <w:spacing w:after="140" w:before="280"/>
      </w:pPr>
      <w:r>
        <w:rPr>
          <w:b/>
          <w:bCs/>
          <w:color w:val="1F2A44"/>
          <w:sz w:val="26"/>
          <w:szCs w:val="26"/>
        </w:rPr>
        <w:t xml:space="preserve">7.1 Pricing model — firm/capped</w:t>
      </w:r>
    </w:p>
    <w:p>
      <w:pPr>
        <w:spacing w:after="120" w:before="0"/>
      </w:pPr>
      <w:r>
        <w:t xml:space="preserve">This SOW is contracted on a firm/capped pricing basis at ±10–15% accuracy, calculated against the signed Solution Design Document. The contract value is fixed at signature. Variation is permitted only via the Change Control mechanism.</w:t>
      </w:r>
    </w:p>
    <w:p>
      <w:pPr>
        <w:pStyle w:val="Heading2"/>
        <w:spacing w:after="140" w:before="280"/>
      </w:pPr>
      <w:r>
        <w:rPr>
          <w:b/>
          <w:bCs/>
          <w:color w:val="1F2A44"/>
          <w:sz w:val="26"/>
          <w:szCs w:val="26"/>
        </w:rPr>
        <w:t xml:space="preserve">7.2 Total contract value and stage breakdown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26"/>
      </w:tblGrid>
      <w:tr>
        <w:trPr>
          <w:tblHeader/>
        </w:trPr>
        <w:tc>
          <w:tcPr>
            <w:tcW w:type="dxa" w:w="3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Stage</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Effort (man-days)</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Cost</w:t>
            </w:r>
          </w:p>
        </w:tc>
        <w:tc>
          <w:tcPr>
            <w:tcW w:type="dxa" w:w="20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 Total</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S13 — Build &amp; Configuration</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S14 — Testing</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S15 — Cutover Planning</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S16 — Deployment &amp; Go-Live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S17 — Hypercare &amp; Stabilisation</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r>
      <w:tr>
        <w:tc>
          <w:tcPr>
            <w:tcW w:type="dxa" w:w="3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TOTAL FIRM CONTRACT VALUE</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[X]</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[£X]</w:t>
            </w:r>
          </w:p>
        </w:tc>
        <w:tc>
          <w:tcPr>
            <w:tcW w:type="dxa" w:w="2026"/>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100%</w:t>
            </w:r>
          </w:p>
        </w:tc>
      </w:tr>
    </w:tbl>
    <w:p>
      <w:pPr>
        <w:pStyle w:val="Heading2"/>
        <w:spacing w:after="140" w:before="280"/>
      </w:pPr>
      <w:r>
        <w:rPr>
          <w:b/>
          <w:bCs/>
          <w:color w:val="1F2A44"/>
          <w:sz w:val="26"/>
          <w:szCs w:val="26"/>
        </w:rPr>
        <w:t xml:space="preserve">7.3 Payment milestones</w:t>
      </w:r>
    </w:p>
    <w:p>
      <w:pPr>
        <w:spacing w:after="120" w:before="0"/>
      </w:pPr>
      <w:r>
        <w:t xml:space="preserve">Payment is milestone-based, not time-based. Each payment is triggered by the Client's acceptance of the corresponding deliverable. No advance payment for work not yet delivered.</w:t>
      </w:r>
    </w:p>
    <w:p>
      <w:pPr>
        <w:pStyle w:val="Heading2"/>
        <w:spacing w:after="140" w:before="280"/>
      </w:pPr>
      <w:r>
        <w:rPr>
          <w:b/>
          <w:bCs/>
          <w:color w:val="1F2A44"/>
          <w:sz w:val="26"/>
          <w:szCs w:val="26"/>
        </w:rPr>
        <w:t xml:space="preserve">7.4 Hypercare extension pricing</w:t>
      </w:r>
    </w:p>
    <w:p>
      <w:pPr>
        <w:spacing w:after="120" w:before="0"/>
      </w:pPr>
      <w:r>
        <w:t xml:space="preserve">If Hypercare extension is required (criteria not met by planned exit date), the Supplier provides extension at agreed unit rates from the MSA rate card, capped at the same daily rate as during scheduled Hypercare. The Supplier may not charge a premium for extending Hypercare; this is a deliberate term to remove the SI's commercial incentive to push for premature Hypercare exit.</w:t>
      </w:r>
    </w:p>
    <w:p>
      <w:r>
        <w:br w:type="page"/>
      </w:r>
    </w:p>
    <w:p>
      <w:pPr>
        <w:pStyle w:val="Heading1"/>
        <w:spacing w:after="180" w:before="360"/>
      </w:pPr>
      <w:r>
        <w:rPr>
          <w:b/>
          <w:bCs/>
          <w:color w:val="1F2A44"/>
          <w:sz w:val="32"/>
          <w:szCs w:val="32"/>
        </w:rPr>
        <w:t xml:space="preserve">8. Change Control</w:t>
      </w:r>
    </w:p>
    <w:p>
      <w:pPr>
        <w:spacing w:after="120" w:before="0"/>
      </w:pPr>
      <w:r>
        <w:t xml:space="preserve">Change Control follows the standard mechanism set out in the SOW Suite Overview document, with these specific provisions for SOW 3:</w:t>
      </w:r>
    </w:p>
    <w:p>
      <w:pPr>
        <w:pStyle w:val="ListParagraph"/>
        <w:numPr>
          <w:ilvl w:val="0"/>
          <w:numId w:val="3"/>
        </w:numPr>
        <w:spacing w:after="80"/>
      </w:pPr>
      <w:r>
        <w:rPr>
          <w:sz w:val="22"/>
          <w:szCs w:val="22"/>
        </w:rPr>
        <w:t xml:space="preserve">Acknowledgement within 2 business days; impact assessment within 5 business days for changes under 20 man-days, 10 business days for larger</w:t>
      </w:r>
    </w:p>
    <w:p>
      <w:pPr>
        <w:pStyle w:val="ListParagraph"/>
        <w:numPr>
          <w:ilvl w:val="0"/>
          <w:numId w:val="3"/>
        </w:numPr>
        <w:spacing w:after="80"/>
      </w:pPr>
      <w:r>
        <w:rPr>
          <w:sz w:val="22"/>
          <w:szCs w:val="22"/>
        </w:rPr>
        <w:t xml:space="preserve">Change Authority Board sits weekly: Client PM, Supplier Engagement Manager, Client Finance, Client Solution Architect, Supplier Solution Architect</w:t>
      </w:r>
    </w:p>
    <w:p>
      <w:pPr>
        <w:pStyle w:val="ListParagraph"/>
        <w:numPr>
          <w:ilvl w:val="0"/>
          <w:numId w:val="3"/>
        </w:numPr>
        <w:spacing w:after="80"/>
      </w:pPr>
      <w:r>
        <w:rPr>
          <w:sz w:val="22"/>
          <w:szCs w:val="22"/>
        </w:rPr>
        <w:t xml:space="preserve">Changes affecting cost: Sponsor approval required if value exceeds [£X] or [Y]% of contract value</w:t>
      </w:r>
    </w:p>
    <w:p>
      <w:pPr>
        <w:pStyle w:val="ListParagraph"/>
        <w:numPr>
          <w:ilvl w:val="0"/>
          <w:numId w:val="3"/>
        </w:numPr>
        <w:spacing w:after="80"/>
      </w:pPr>
      <w:r>
        <w:rPr>
          <w:sz w:val="22"/>
          <w:szCs w:val="22"/>
        </w:rPr>
        <w:t xml:space="preserve">Changes affecting timeline: Sponsor approval required if Go-Live date moves more than [N] weeks</w:t>
      </w:r>
    </w:p>
    <w:p>
      <w:pPr>
        <w:pStyle w:val="ListParagraph"/>
        <w:numPr>
          <w:ilvl w:val="0"/>
          <w:numId w:val="3"/>
        </w:numPr>
        <w:spacing w:after="80"/>
      </w:pPr>
      <w:r>
        <w:rPr>
          <w:sz w:val="22"/>
          <w:szCs w:val="22"/>
        </w:rPr>
        <w:t xml:space="preserve">Changes affecting scope: Process Owner approval required for the affected process stream(s)</w:t>
      </w:r>
    </w:p>
    <w:p>
      <w:pPr>
        <w:pStyle w:val="ListParagraph"/>
        <w:numPr>
          <w:ilvl w:val="0"/>
          <w:numId w:val="3"/>
        </w:numPr>
        <w:spacing w:after="80"/>
      </w:pPr>
      <w:r>
        <w:rPr>
          <w:sz w:val="22"/>
          <w:szCs w:val="22"/>
        </w:rPr>
        <w:t xml:space="preserve">No work commences on a Change Request before written Client approval</w:t>
      </w:r>
    </w:p>
    <w:p>
      <w:pPr>
        <w:pStyle w:val="ListParagraph"/>
        <w:numPr>
          <w:ilvl w:val="0"/>
          <w:numId w:val="3"/>
        </w:numPr>
        <w:spacing w:after="80"/>
      </w:pPr>
      <w:r>
        <w:rPr>
          <w:sz w:val="22"/>
          <w:szCs w:val="22"/>
        </w:rPr>
        <w:t xml:space="preserve">Disputes escalate: Steering Committee → Executive Sponsor Group → Dispute resolution under MSA</w:t>
      </w:r>
    </w:p>
    <w:p>
      <w:pPr>
        <w:pStyle w:val="Heading1"/>
        <w:spacing w:after="180" w:before="360"/>
      </w:pPr>
      <w:r>
        <w:rPr>
          <w:b/>
          <w:bCs/>
          <w:color w:val="1F2A44"/>
          <w:sz w:val="32"/>
          <w:szCs w:val="32"/>
        </w:rPr>
        <w:t xml:space="preserve">9. Test Exit Criteria</w:t>
      </w:r>
    </w:p>
    <w:p>
      <w:pPr>
        <w:spacing w:after="120" w:before="0"/>
      </w:pPr>
      <w:r>
        <w:t xml:space="preserve">Each test phase has binary exit criteria. The phase exits when criteria are met; failure to meet criteria does not constitute exit and the Supplier remediates at no additional charge.</w:t>
      </w:r>
    </w:p>
    <w:p>
      <w:pPr>
        <w:pStyle w:val="Heading2"/>
        <w:spacing w:after="140" w:before="280"/>
      </w:pPr>
      <w:r>
        <w:rPr>
          <w:b/>
          <w:bCs/>
          <w:color w:val="1F2A44"/>
          <w:sz w:val="26"/>
          <w:szCs w:val="26"/>
        </w:rPr>
        <w:t xml:space="preserve">9.1 SAT Exit</w:t>
      </w:r>
    </w:p>
    <w:p>
      <w:pPr>
        <w:pStyle w:val="ListParagraph"/>
        <w:numPr>
          <w:ilvl w:val="0"/>
          <w:numId w:val="3"/>
        </w:numPr>
        <w:spacing w:after="80"/>
      </w:pPr>
      <w:r>
        <w:rPr>
          <w:sz w:val="22"/>
          <w:szCs w:val="22"/>
        </w:rPr>
        <w:t xml:space="preserve">Three SAT cycles complete</w:t>
      </w:r>
    </w:p>
    <w:p>
      <w:pPr>
        <w:pStyle w:val="ListParagraph"/>
        <w:numPr>
          <w:ilvl w:val="0"/>
          <w:numId w:val="3"/>
        </w:numPr>
        <w:spacing w:after="80"/>
      </w:pPr>
      <w:r>
        <w:rPr>
          <w:sz w:val="22"/>
          <w:szCs w:val="22"/>
        </w:rPr>
        <w:t xml:space="preserve">Zero P1 defects open</w:t>
      </w:r>
    </w:p>
    <w:p>
      <w:pPr>
        <w:pStyle w:val="ListParagraph"/>
        <w:numPr>
          <w:ilvl w:val="0"/>
          <w:numId w:val="3"/>
        </w:numPr>
        <w:spacing w:after="80"/>
      </w:pPr>
      <w:r>
        <w:rPr>
          <w:sz w:val="22"/>
          <w:szCs w:val="22"/>
        </w:rPr>
        <w:t xml:space="preserve">P2 defect count below agreed threshold ([X] open)</w:t>
      </w:r>
    </w:p>
    <w:p>
      <w:pPr>
        <w:pStyle w:val="ListParagraph"/>
        <w:numPr>
          <w:ilvl w:val="0"/>
          <w:numId w:val="3"/>
        </w:numPr>
        <w:spacing w:after="80"/>
      </w:pPr>
      <w:r>
        <w:rPr>
          <w:sz w:val="22"/>
          <w:szCs w:val="22"/>
        </w:rPr>
        <w:t xml:space="preserve">Sign-off by Supplier Test Lead and Solution Architect</w:t>
      </w:r>
    </w:p>
    <w:p>
      <w:pPr>
        <w:pStyle w:val="Heading2"/>
        <w:spacing w:after="140" w:before="280"/>
      </w:pPr>
      <w:r>
        <w:rPr>
          <w:b/>
          <w:bCs/>
          <w:color w:val="1F2A44"/>
          <w:sz w:val="26"/>
          <w:szCs w:val="26"/>
        </w:rPr>
        <w:t xml:space="preserve">9.2 SIT Exit</w:t>
      </w:r>
    </w:p>
    <w:p>
      <w:pPr>
        <w:pStyle w:val="ListParagraph"/>
        <w:numPr>
          <w:ilvl w:val="0"/>
          <w:numId w:val="3"/>
        </w:numPr>
        <w:spacing w:after="80"/>
      </w:pPr>
      <w:r>
        <w:rPr>
          <w:sz w:val="22"/>
          <w:szCs w:val="22"/>
        </w:rPr>
        <w:t xml:space="preserve">All in-scope integrations exercised end-to-end</w:t>
      </w:r>
    </w:p>
    <w:p>
      <w:pPr>
        <w:pStyle w:val="ListParagraph"/>
        <w:numPr>
          <w:ilvl w:val="0"/>
          <w:numId w:val="3"/>
        </w:numPr>
        <w:spacing w:after="80"/>
      </w:pPr>
      <w:r>
        <w:rPr>
          <w:sz w:val="22"/>
          <w:szCs w:val="22"/>
        </w:rPr>
        <w:t xml:space="preserve">Third-party systems integration confirmed</w:t>
      </w:r>
    </w:p>
    <w:p>
      <w:pPr>
        <w:pStyle w:val="ListParagraph"/>
        <w:numPr>
          <w:ilvl w:val="0"/>
          <w:numId w:val="3"/>
        </w:numPr>
        <w:spacing w:after="80"/>
      </w:pPr>
      <w:r>
        <w:rPr>
          <w:sz w:val="22"/>
          <w:szCs w:val="22"/>
        </w:rPr>
        <w:t xml:space="preserve">Zero P1 defects open</w:t>
      </w:r>
    </w:p>
    <w:p>
      <w:pPr>
        <w:pStyle w:val="ListParagraph"/>
        <w:numPr>
          <w:ilvl w:val="0"/>
          <w:numId w:val="3"/>
        </w:numPr>
        <w:spacing w:after="80"/>
      </w:pPr>
      <w:r>
        <w:rPr>
          <w:sz w:val="22"/>
          <w:szCs w:val="22"/>
        </w:rPr>
        <w:t>Sign-off by Client Test Manager and Supplier Solution Architect</w:t>
      </w:r>
    </w:p>
    <w:p>
      <w:pPr>
        <w:pStyle w:val="Heading2"/>
        <w:spacing w:after="140" w:before="280"/>
      </w:pPr>
      <w:r>
        <w:rPr>
          <w:b/>
          <w:bCs/>
          <w:color w:val="1F2A44"/>
          <w:sz w:val="26"/>
          <w:szCs w:val="26"/>
        </w:rPr>
        <w:t xml:space="preserve">9.3 UAT Exit</w:t>
      </w:r>
    </w:p>
    <w:p>
      <w:pPr>
        <w:pStyle w:val="ListParagraph"/>
        <w:numPr>
          <w:ilvl w:val="0"/>
          <w:numId w:val="3"/>
        </w:numPr>
        <w:spacing w:after="80"/>
      </w:pPr>
      <w:r>
        <w:rPr>
          <w:sz w:val="22"/>
          <w:szCs w:val="22"/>
        </w:rPr>
        <w:t xml:space="preserve">All UAT scripts executed</w:t>
      </w:r>
    </w:p>
    <w:p>
      <w:pPr>
        <w:pStyle w:val="ListParagraph"/>
        <w:numPr>
          <w:ilvl w:val="0"/>
          <w:numId w:val="3"/>
        </w:numPr>
        <w:spacing w:after="80"/>
      </w:pPr>
      <w:r>
        <w:rPr>
          <w:sz w:val="22"/>
          <w:szCs w:val="22"/>
        </w:rPr>
        <w:t xml:space="preserve">Sign-off per requirement by responsible Process Owner</w:t>
      </w:r>
    </w:p>
    <w:p>
      <w:pPr>
        <w:pStyle w:val="ListParagraph"/>
        <w:numPr>
          <w:ilvl w:val="0"/>
          <w:numId w:val="3"/>
        </w:numPr>
        <w:spacing w:after="80"/>
      </w:pPr>
      <w:r>
        <w:rPr>
          <w:sz w:val="22"/>
          <w:szCs w:val="22"/>
        </w:rPr>
        <w:t xml:space="preserve">Zero P1 defects open</w:t>
      </w:r>
    </w:p>
    <w:p>
      <w:pPr>
        <w:pStyle w:val="ListParagraph"/>
        <w:numPr>
          <w:ilvl w:val="0"/>
          <w:numId w:val="3"/>
        </w:numPr>
        <w:spacing w:after="80"/>
      </w:pPr>
      <w:r>
        <w:rPr>
          <w:sz w:val="22"/>
          <w:szCs w:val="22"/>
        </w:rPr>
        <w:t>P2 defects open only with workaround agreed and documented</w:t>
      </w:r>
    </w:p>
    <w:p>
      <w:pPr>
        <w:pStyle w:val="Heading2"/>
        <w:spacing w:after="140" w:before="280"/>
      </w:pPr>
      <w:r>
        <w:rPr>
          <w:b/>
          <w:bCs/>
          <w:color w:val="1F2A44"/>
          <w:sz w:val="26"/>
          <w:szCs w:val="26"/>
        </w:rPr>
        <w:t xml:space="preserve">9.4 BAT Exit</w:t>
      </w:r>
    </w:p>
    <w:p>
      <w:pPr>
        <w:pStyle w:val="ListParagraph"/>
        <w:numPr>
          <w:ilvl w:val="0"/>
          <w:numId w:val="3"/>
        </w:numPr>
        <w:spacing w:after="80"/>
      </w:pPr>
      <w:r>
        <w:rPr>
          <w:sz w:val="22"/>
          <w:szCs w:val="22"/>
        </w:rPr>
        <w:t xml:space="preserve">All operational scenarios run end-to-end (month-end, peak load, exception handling)</w:t>
      </w:r>
    </w:p>
    <w:p>
      <w:pPr>
        <w:pStyle w:val="ListParagraph"/>
        <w:numPr>
          <w:ilvl w:val="0"/>
          <w:numId w:val="3"/>
        </w:numPr>
        <w:spacing w:after="80"/>
      </w:pPr>
      <w:r>
        <w:rPr>
          <w:sz w:val="22"/>
          <w:szCs w:val="22"/>
        </w:rPr>
        <w:t xml:space="preserve">Sign-off by Benefit Owners against KPI scenarios</w:t>
      </w:r>
    </w:p>
    <w:p>
      <w:pPr>
        <w:pStyle w:val="ListParagraph"/>
        <w:numPr>
          <w:ilvl w:val="0"/>
          <w:numId w:val="3"/>
        </w:numPr>
        <w:spacing w:after="80"/>
      </w:pPr>
      <w:r>
        <w:rPr>
          <w:sz w:val="22"/>
          <w:szCs w:val="22"/>
        </w:rPr>
        <w:t xml:space="preserve">Zero P1 defects open</w:t>
      </w:r>
    </w:p>
    <w:p>
      <w:pPr>
        <w:pStyle w:val="Heading2"/>
        <w:spacing w:after="140" w:before="280"/>
      </w:pPr>
      <w:r>
        <w:rPr>
          <w:b/>
          <w:bCs/>
          <w:color w:val="1F2A44"/>
          <w:sz w:val="26"/>
          <w:szCs w:val="26"/>
        </w:rPr>
        <w:t xml:space="preserve">9.5 NFT Exit</w:t>
      </w:r>
    </w:p>
    <w:p>
      <w:pPr>
        <w:pStyle w:val="ListParagraph"/>
        <w:numPr>
          <w:ilvl w:val="0"/>
          <w:numId w:val="3"/>
        </w:numPr>
        <w:spacing w:after="80"/>
      </w:pPr>
      <w:r>
        <w:rPr>
          <w:sz w:val="22"/>
          <w:szCs w:val="22"/>
        </w:rPr>
        <w:t xml:space="preserve">Performance test results meeting design baselines</w:t>
      </w:r>
    </w:p>
    <w:p>
      <w:pPr>
        <w:pStyle w:val="ListParagraph"/>
        <w:numPr>
          <w:ilvl w:val="0"/>
          <w:numId w:val="3"/>
        </w:numPr>
        <w:spacing w:after="80"/>
      </w:pPr>
      <w:r>
        <w:rPr>
          <w:sz w:val="22"/>
          <w:szCs w:val="22"/>
        </w:rPr>
        <w:t xml:space="preserve">Security test pass — penetration test, code scan, role validation</w:t>
      </w:r>
    </w:p>
    <w:p>
      <w:pPr>
        <w:pStyle w:val="ListParagraph"/>
        <w:numPr>
          <w:ilvl w:val="0"/>
          <w:numId w:val="3"/>
        </w:numPr>
        <w:spacing w:after="80"/>
      </w:pPr>
      <w:r>
        <w:rPr>
          <w:sz w:val="22"/>
          <w:szCs w:val="22"/>
        </w:rPr>
        <w:t xml:space="preserve">DR test successful at full scale</w:t>
      </w:r>
    </w:p>
    <w:p>
      <w:pPr>
        <w:pStyle w:val="ListParagraph"/>
        <w:numPr>
          <w:ilvl w:val="0"/>
          <w:numId w:val="3"/>
        </w:numPr>
        <w:spacing w:after="80"/>
      </w:pPr>
      <w:r>
        <w:rPr>
          <w:sz w:val="22"/>
          <w:szCs w:val="22"/>
        </w:rPr>
        <w:t xml:space="preserve">BCP scenario tested with documented recovery time</w:t>
      </w:r>
    </w:p>
    <w:p>
      <w:pPr>
        <w:pStyle w:val="Heading2"/>
        <w:spacing w:after="140" w:before="280"/>
      </w:pPr>
      <w:r>
        <w:rPr>
          <w:b/>
          <w:bCs/>
          <w:color w:val="1F2A44"/>
          <w:sz w:val="26"/>
          <w:szCs w:val="26"/>
        </w:rPr>
        <w:t xml:space="preserve">9.6 Test Exit Checkpoint (overall)</w:t>
      </w:r>
    </w:p>
    <w:p>
      <w:pPr>
        <w:pStyle w:val="ListParagraph"/>
        <w:numPr>
          <w:ilvl w:val="0"/>
          <w:numId w:val="3"/>
        </w:numPr>
        <w:spacing w:after="80"/>
      </w:pPr>
      <w:r>
        <w:rPr>
          <w:sz w:val="22"/>
          <w:szCs w:val="22"/>
        </w:rPr>
        <w:t>Zero P1; zero P2 unless a workaround is agreed by the Design Authority and Process Owner and documented (across all test phases)</w:t>
      </w:r>
    </w:p>
    <w:p>
      <w:pPr>
        <w:pStyle w:val="ListParagraph"/>
        <w:numPr>
          <w:ilvl w:val="0"/>
          <w:numId w:val="3"/>
        </w:numPr>
        <w:spacing w:after="80"/>
      </w:pPr>
      <w:r>
        <w:rPr>
          <w:sz w:val="22"/>
          <w:szCs w:val="22"/>
        </w:rPr>
        <w:t xml:space="preserve">All sign-off certificates issued</w:t>
      </w:r>
    </w:p>
    <w:p>
      <w:pPr>
        <w:pStyle w:val="ListParagraph"/>
        <w:numPr>
          <w:ilvl w:val="0"/>
          <w:numId w:val="3"/>
        </w:numPr>
        <w:spacing w:after="80"/>
      </w:pPr>
      <w:r>
        <w:rPr>
          <w:sz w:val="22"/>
          <w:szCs w:val="22"/>
        </w:rPr>
        <w:t xml:space="preserve">Defect log auditable and complete</w:t>
      </w:r>
    </w:p>
    <w:p>
      <w:pPr>
        <w:pStyle w:val="Heading1"/>
        <w:spacing w:after="180" w:before="360"/>
      </w:pPr>
      <w:r>
        <w:rPr>
          <w:b/>
          <w:bCs/>
          <w:color w:val="1F2A44"/>
          <w:sz w:val="32"/>
          <w:szCs w:val="32"/>
        </w:rPr>
        <w:t xml:space="preserve">10. Go-Live (Executive Go/No-Go) Criteria</w:t>
      </w:r>
    </w:p>
    <w:p>
      <w:pPr>
        <w:spacing w:after="120" w:before="0"/>
      </w:pPr>
      <w:r>
        <w:t xml:space="preserve">The Executive Sponsor's go/no-go decision (the GLG) is made against documented criteria. The decision is binary; if criteria are not met, the Sponsor calls No-Go and the Go-Live is rescheduled.</w:t>
      </w:r>
    </w:p>
    <w:p>
      <w:pPr>
        <w:pStyle w:val="ListParagraph"/>
        <w:numPr>
          <w:ilvl w:val="0"/>
          <w:numId w:val="3"/>
        </w:numPr>
        <w:spacing w:after="80"/>
      </w:pPr>
      <w:r>
        <w:rPr>
          <w:sz w:val="22"/>
          <w:szCs w:val="22"/>
        </w:rPr>
        <w:t xml:space="preserve">Test Exit checkpoint achieved</w:t>
      </w:r>
    </w:p>
    <w:p>
      <w:pPr>
        <w:pStyle w:val="ListParagraph"/>
        <w:numPr>
          <w:ilvl w:val="0"/>
          <w:numId w:val="3"/>
        </w:numPr>
        <w:spacing w:after="80"/>
      </w:pPr>
      <w:r>
        <w:rPr>
          <w:sz w:val="22"/>
          <w:szCs w:val="22"/>
        </w:rPr>
        <w:t xml:space="preserve">Cutover Runbook signed and dress-rehearsed</w:t>
      </w:r>
    </w:p>
    <w:p>
      <w:pPr>
        <w:pStyle w:val="ListParagraph"/>
        <w:numPr>
          <w:ilvl w:val="0"/>
          <w:numId w:val="3"/>
        </w:numPr>
        <w:spacing w:after="80"/>
      </w:pPr>
      <w:r>
        <w:rPr>
          <w:sz w:val="22"/>
          <w:szCs w:val="22"/>
        </w:rPr>
        <w:t xml:space="preserve">Business Readiness signed by Process Owners and Senior Users</w:t>
      </w:r>
    </w:p>
    <w:p>
      <w:pPr>
        <w:pStyle w:val="ListParagraph"/>
        <w:numPr>
          <w:ilvl w:val="0"/>
          <w:numId w:val="3"/>
        </w:numPr>
        <w:spacing w:after="80"/>
      </w:pPr>
      <w:r>
        <w:rPr>
          <w:sz w:val="22"/>
          <w:szCs w:val="22"/>
        </w:rPr>
        <w:t xml:space="preserve">Training cascade complete; Trainers (Train-the-Trainer cohort) confirmed deployed</w:t>
      </w:r>
    </w:p>
    <w:p>
      <w:pPr>
        <w:pStyle w:val="ListParagraph"/>
        <w:numPr>
          <w:ilvl w:val="0"/>
          <w:numId w:val="3"/>
        </w:numPr>
        <w:spacing w:after="80"/>
      </w:pPr>
      <w:r>
        <w:rPr>
          <w:sz w:val="22"/>
          <w:szCs w:val="22"/>
        </w:rPr>
        <w:t xml:space="preserve">Hypercare command centre established with named cover</w:t>
      </w:r>
    </w:p>
    <w:p>
      <w:pPr>
        <w:pStyle w:val="ListParagraph"/>
        <w:numPr>
          <w:ilvl w:val="0"/>
          <w:numId w:val="3"/>
        </w:numPr>
        <w:spacing w:after="80"/>
      </w:pPr>
      <w:r>
        <w:rPr>
          <w:sz w:val="22"/>
          <w:szCs w:val="22"/>
        </w:rPr>
        <w:t xml:space="preserve">BAU support team confirmed available</w:t>
      </w:r>
    </w:p>
    <w:p>
      <w:pPr>
        <w:pStyle w:val="ListParagraph"/>
        <w:numPr>
          <w:ilvl w:val="0"/>
          <w:numId w:val="3"/>
        </w:numPr>
        <w:spacing w:after="80"/>
      </w:pPr>
      <w:r>
        <w:rPr>
          <w:sz w:val="22"/>
          <w:szCs w:val="22"/>
        </w:rPr>
        <w:t xml:space="preserve">Rollback plan documented and rehearsed</w:t>
      </w:r>
    </w:p>
    <w:p>
      <w:pPr>
        <w:pStyle w:val="ListParagraph"/>
        <w:numPr>
          <w:ilvl w:val="0"/>
          <w:numId w:val="3"/>
        </w:numPr>
        <w:spacing w:after="80"/>
      </w:pPr>
      <w:r>
        <w:rPr>
          <w:sz w:val="22"/>
          <w:szCs w:val="22"/>
        </w:rPr>
        <w:t xml:space="preserve">Communications cascade ready for Day 1</w:t>
      </w:r>
    </w:p>
    <w:p>
      <w:r>
        <w:br w:type="page"/>
      </w:r>
    </w:p>
    <w:p>
      <w:pPr>
        <w:pStyle w:val="Heading1"/>
        <w:spacing w:after="180" w:before="360"/>
      </w:pPr>
      <w:r>
        <w:rPr>
          <w:b/>
          <w:bCs/>
          <w:color w:val="1F2A44"/>
          <w:sz w:val="32"/>
          <w:szCs w:val="32"/>
        </w:rPr>
        <w:t xml:space="preserve">11. Hypercare Exit Criteria (Critical)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HYPERCARE EXITS ON CRITERIA, NOT ON DATE</w:t>
            </w:r>
          </w:p>
          <w:p>
            <w:r>
              <w:rPr>
                <w:sz w:val="22"/>
                <w:szCs w:val="22"/>
              </w:rPr>
              <w:t xml:space="preserve">Hypercare exits when the criteria below are met. The Supplier may not exit Hypercare on contracted end-date if criteria are not met; the engagement extends at the agreed extension rates (section 7.4). This clause is the contractual lever that prevents the SI commercial incentive to push for premature Hypercare exit at the Client's cost.</w:t>
            </w:r>
          </w:p>
        </w:tc>
      </w:tr>
    </w:tbl>
    <w:p>
      <w:pPr>
        <w:pStyle w:val="Heading2"/>
        <w:spacing w:after="140" w:before="280"/>
      </w:pPr>
      <w:r>
        <w:rPr>
          <w:b/>
          <w:bCs/>
          <w:color w:val="1F2A44"/>
          <w:sz w:val="26"/>
          <w:szCs w:val="26"/>
        </w:rPr>
        <w:t xml:space="preserve">11.1 Defect criteria</w:t>
      </w:r>
    </w:p>
    <w:p>
      <w:pPr>
        <w:pStyle w:val="ListParagraph"/>
        <w:numPr>
          <w:ilvl w:val="0"/>
          <w:numId w:val="3"/>
        </w:numPr>
        <w:spacing w:after="80"/>
      </w:pPr>
      <w:r>
        <w:rPr>
          <w:sz w:val="22"/>
          <w:szCs w:val="22"/>
        </w:rPr>
        <w:t xml:space="preserve">Zero open P1 defects for two consecutive weeks</w:t>
      </w:r>
    </w:p>
    <w:p>
      <w:pPr>
        <w:pStyle w:val="ListParagraph"/>
        <w:numPr>
          <w:ilvl w:val="0"/>
          <w:numId w:val="3"/>
        </w:numPr>
        <w:spacing w:after="80"/>
      </w:pPr>
      <w:r>
        <w:rPr>
          <w:sz w:val="22"/>
          <w:szCs w:val="22"/>
        </w:rPr>
        <w:t xml:space="preserve">P2 defect count trending down with documented resolution path</w:t>
      </w:r>
    </w:p>
    <w:p>
      <w:pPr>
        <w:pStyle w:val="ListParagraph"/>
        <w:numPr>
          <w:ilvl w:val="0"/>
          <w:numId w:val="3"/>
        </w:numPr>
        <w:spacing w:after="80"/>
      </w:pPr>
      <w:r>
        <w:rPr>
          <w:sz w:val="22"/>
          <w:szCs w:val="22"/>
        </w:rPr>
        <w:t xml:space="preserve">All Day-1 issues resolved or formally transitioned to BAU backlog</w:t>
      </w:r>
    </w:p>
    <w:p>
      <w:pPr>
        <w:pStyle w:val="Heading2"/>
        <w:spacing w:after="140" w:before="280"/>
      </w:pPr>
      <w:r>
        <w:rPr>
          <w:b/>
          <w:bCs/>
          <w:color w:val="1F2A44"/>
          <w:sz w:val="26"/>
          <w:szCs w:val="26"/>
        </w:rPr>
        <w:t xml:space="preserve">11.2 Operational criteria</w:t>
      </w:r>
    </w:p>
    <w:p>
      <w:pPr>
        <w:pStyle w:val="ListParagraph"/>
        <w:numPr>
          <w:ilvl w:val="0"/>
          <w:numId w:val="3"/>
        </w:numPr>
        <w:spacing w:after="80"/>
      </w:pPr>
      <w:r>
        <w:rPr>
          <w:sz w:val="22"/>
          <w:szCs w:val="22"/>
        </w:rPr>
        <w:t xml:space="preserve">BAU support team operating to SLA for two consecutive weeks</w:t>
      </w:r>
    </w:p>
    <w:p>
      <w:pPr>
        <w:pStyle w:val="ListParagraph"/>
        <w:numPr>
          <w:ilvl w:val="0"/>
          <w:numId w:val="3"/>
        </w:numPr>
        <w:spacing w:after="80"/>
      </w:pPr>
      <w:r>
        <w:rPr>
          <w:sz w:val="22"/>
          <w:szCs w:val="22"/>
        </w:rPr>
        <w:t xml:space="preserve">Process Owners signing off operational stability per stream</w:t>
      </w:r>
    </w:p>
    <w:p>
      <w:pPr>
        <w:pStyle w:val="ListParagraph"/>
        <w:numPr>
          <w:ilvl w:val="0"/>
          <w:numId w:val="3"/>
        </w:numPr>
        <w:spacing w:after="80"/>
      </w:pPr>
      <w:r>
        <w:rPr>
          <w:sz w:val="22"/>
          <w:szCs w:val="22"/>
        </w:rPr>
        <w:t xml:space="preserve">Adoption metrics ≥ [X]% across in-scope user groups</w:t>
      </w:r>
    </w:p>
    <w:p>
      <w:pPr>
        <w:pStyle w:val="Heading2"/>
        <w:spacing w:after="140" w:before="280"/>
      </w:pPr>
      <w:r>
        <w:rPr>
          <w:b/>
          <w:bCs/>
          <w:color w:val="1F2A44"/>
          <w:sz w:val="26"/>
          <w:szCs w:val="26"/>
        </w:rPr>
        <w:t xml:space="preserve">11.3 Knowledge transfer criteria</w:t>
      </w:r>
    </w:p>
    <w:p>
      <w:pPr>
        <w:pStyle w:val="ListParagraph"/>
        <w:numPr>
          <w:ilvl w:val="0"/>
          <w:numId w:val="3"/>
        </w:numPr>
        <w:spacing w:after="80"/>
      </w:pPr>
      <w:r>
        <w:rPr>
          <w:sz w:val="22"/>
          <w:szCs w:val="22"/>
        </w:rPr>
        <w:t xml:space="preserve">BAU support team trained per the KT Plan and confirming readiness</w:t>
      </w:r>
    </w:p>
    <w:p>
      <w:pPr>
        <w:pStyle w:val="ListParagraph"/>
        <w:numPr>
          <w:ilvl w:val="0"/>
          <w:numId w:val="3"/>
        </w:numPr>
        <w:spacing w:after="80"/>
      </w:pPr>
      <w:r>
        <w:rPr>
          <w:sz w:val="22"/>
          <w:szCs w:val="22"/>
        </w:rPr>
        <w:t xml:space="preserve">Application Owner has accepted handover</w:t>
      </w:r>
    </w:p>
    <w:p>
      <w:pPr>
        <w:pStyle w:val="ListParagraph"/>
        <w:numPr>
          <w:ilvl w:val="0"/>
          <w:numId w:val="3"/>
        </w:numPr>
        <w:spacing w:after="80"/>
      </w:pPr>
      <w:r>
        <w:rPr>
          <w:sz w:val="22"/>
          <w:szCs w:val="22"/>
        </w:rPr>
        <w:t xml:space="preserve">All KT artefacts (runbooks, troubleshooting guides, configuration documentation) delivered to Client</w:t>
      </w:r>
    </w:p>
    <w:p>
      <w:pPr>
        <w:pStyle w:val="Heading1"/>
        <w:spacing w:after="180" w:before="360"/>
      </w:pPr>
      <w:r>
        <w:rPr>
          <w:b/>
          <w:bCs/>
          <w:color w:val="1F2A44"/>
          <w:sz w:val="32"/>
          <w:szCs w:val="32"/>
        </w:rPr>
        <w:t xml:space="preserve">12. Knowledge Transfer Obligations</w:t>
      </w:r>
    </w:p>
    <w:p>
      <w:pPr>
        <w:spacing w:after="120" w:before="0"/>
      </w:pPr>
      <w:r>
        <w:t xml:space="preserve">Knowledge Transfer is not a separate phase; it runs throughout SOW 3, building toward BAU readiness at Hypercare Exit:</w:t>
      </w:r>
    </w:p>
    <w:p>
      <w:pPr>
        <w:pStyle w:val="ListParagraph"/>
        <w:numPr>
          <w:ilvl w:val="0"/>
          <w:numId w:val="3"/>
        </w:numPr>
        <w:spacing w:after="80"/>
      </w:pPr>
      <w:r>
        <w:rPr>
          <w:sz w:val="22"/>
          <w:szCs w:val="22"/>
        </w:rPr>
        <w:t>S13 — Build documentation produced as configuration is built; not retrospectively after</w:t>
      </w:r>
    </w:p>
    <w:p>
      <w:pPr>
        <w:pStyle w:val="ListParagraph"/>
        <w:numPr>
          <w:ilvl w:val="0"/>
          <w:numId w:val="3"/>
        </w:numPr>
        <w:spacing w:after="80"/>
      </w:pPr>
      <w:r>
        <w:rPr>
          <w:sz w:val="22"/>
          <w:szCs w:val="22"/>
        </w:rPr>
        <w:t>S14 — Test artefacts (scripts, evidence, defect log) handed over progressively</w:t>
      </w:r>
    </w:p>
    <w:p>
      <w:pPr>
        <w:pStyle w:val="ListParagraph"/>
        <w:numPr>
          <w:ilvl w:val="0"/>
          <w:numId w:val="3"/>
        </w:numPr>
        <w:spacing w:after="80"/>
      </w:pPr>
      <w:r>
        <w:rPr>
          <w:sz w:val="22"/>
          <w:szCs w:val="22"/>
        </w:rPr>
        <w:t>S15 — Cutover runbook, support runbooks, troubleshooting guides finalised</w:t>
      </w:r>
    </w:p>
    <w:p>
      <w:pPr>
        <w:pStyle w:val="ListParagraph"/>
        <w:numPr>
          <w:ilvl w:val="0"/>
          <w:numId w:val="3"/>
        </w:numPr>
        <w:spacing w:after="80"/>
      </w:pPr>
      <w:r>
        <w:rPr>
          <w:sz w:val="22"/>
          <w:szCs w:val="22"/>
        </w:rPr>
        <w:t>S16 — Day-1 operations manuals, escalation procedures, war-room handover</w:t>
      </w:r>
    </w:p>
    <w:p>
      <w:pPr>
        <w:pStyle w:val="ListParagraph"/>
        <w:numPr>
          <w:ilvl w:val="0"/>
          <w:numId w:val="3"/>
        </w:numPr>
        <w:spacing w:after="80"/>
      </w:pPr>
      <w:r>
        <w:rPr>
          <w:sz w:val="22"/>
          <w:szCs w:val="22"/>
        </w:rPr>
        <w:t>S17 — Comprehensive KT to BAU support team, Application Owner accepts handover, Hypercare Exit Report includes KT completion certification</w:t>
      </w:r>
    </w:p>
    <w:p>
      <w:pPr>
        <w:spacing w:after="120" w:before="0"/>
      </w:pPr>
      <w:r>
        <w:t xml:space="preserve">All KT artefacts become Client property on creation per the MSA Foreground IP clause.</w:t>
      </w:r>
    </w:p>
    <w:p>
      <w:pPr>
        <w:pStyle w:val="Heading1"/>
        <w:spacing w:after="180" w:before="360"/>
      </w:pPr>
      <w:r>
        <w:rPr>
          <w:b/>
          <w:bCs/>
          <w:color w:val="1F2A44"/>
          <w:sz w:val="32"/>
          <w:szCs w:val="32"/>
        </w:rPr>
        <w:t xml:space="preserve">13. SI Exit Terms</w:t>
      </w:r>
    </w:p>
    <w:p>
      <w:pPr>
        <w:pStyle w:val="Heading2"/>
        <w:spacing w:after="140" w:before="280"/>
      </w:pPr>
      <w:r>
        <w:rPr>
          <w:b/>
          <w:bCs/>
          <w:color w:val="1F2A44"/>
          <w:sz w:val="26"/>
          <w:szCs w:val="26"/>
        </w:rPr>
        <w:t xml:space="preserve">13.1 Standard exit at Hypercare Exit</w:t>
      </w:r>
    </w:p>
    <w:p>
      <w:pPr>
        <w:spacing w:after="120" w:before="0"/>
      </w:pPr>
      <w:r>
        <w:t xml:space="preserve">On certified Hypercare Exit, this SOW closes. The Supplier disengages from the engagement. Continued support beyond Hypercare is by separate agreement (Managed Service Agreement, follow-on consultancy SOW, or in-house BAU).</w:t>
      </w:r>
    </w:p>
    <w:p>
      <w:pPr>
        <w:pStyle w:val="Heading2"/>
        <w:spacing w:after="140" w:before="280"/>
      </w:pPr>
      <w:r>
        <w:rPr>
          <w:b/>
          <w:bCs/>
          <w:color w:val="1F2A44"/>
          <w:sz w:val="26"/>
          <w:szCs w:val="26"/>
        </w:rPr>
        <w:t xml:space="preserve">13.2 Exit handover obligations</w:t>
      </w:r>
    </w:p>
    <w:p>
      <w:pPr>
        <w:pStyle w:val="ListParagraph"/>
        <w:numPr>
          <w:ilvl w:val="0"/>
          <w:numId w:val="3"/>
        </w:numPr>
        <w:spacing w:after="80"/>
      </w:pPr>
      <w:r>
        <w:rPr>
          <w:sz w:val="22"/>
          <w:szCs w:val="22"/>
        </w:rPr>
        <w:t xml:space="preserve">All Foreground IP delivered to the Client (configuration, custom code, integration code, data migration scripts, design and operational documentation)</w:t>
      </w:r>
    </w:p>
    <w:p>
      <w:pPr>
        <w:pStyle w:val="ListParagraph"/>
        <w:numPr>
          <w:ilvl w:val="0"/>
          <w:numId w:val="3"/>
        </w:numPr>
        <w:spacing w:after="80"/>
      </w:pPr>
      <w:r>
        <w:rPr>
          <w:sz w:val="22"/>
          <w:szCs w:val="22"/>
        </w:rPr>
        <w:t xml:space="preserve">All Client data in Supplier custody returned or destroyed within 10 business days, with written certification</w:t>
      </w:r>
    </w:p>
    <w:p>
      <w:pPr>
        <w:pStyle w:val="ListParagraph"/>
        <w:numPr>
          <w:ilvl w:val="0"/>
          <w:numId w:val="3"/>
        </w:numPr>
        <w:spacing w:after="80"/>
      </w:pPr>
      <w:r>
        <w:rPr>
          <w:sz w:val="22"/>
          <w:szCs w:val="22"/>
        </w:rPr>
        <w:t xml:space="preserve">Supplier personnel access to Client systems revoked</w:t>
      </w:r>
    </w:p>
    <w:p>
      <w:pPr>
        <w:pStyle w:val="ListParagraph"/>
        <w:numPr>
          <w:ilvl w:val="0"/>
          <w:numId w:val="3"/>
        </w:numPr>
        <w:spacing w:after="80"/>
      </w:pPr>
      <w:r>
        <w:rPr>
          <w:sz w:val="22"/>
          <w:szCs w:val="22"/>
        </w:rPr>
        <w:t xml:space="preserve">Final invoice raised within 10 business days of Hypercare Exit certification</w:t>
      </w:r>
    </w:p>
    <w:p>
      <w:pPr>
        <w:pStyle w:val="Heading2"/>
        <w:spacing w:after="140" w:before="280"/>
      </w:pPr>
      <w:r>
        <w:rPr>
          <w:b/>
          <w:bCs/>
          <w:color w:val="1F2A44"/>
          <w:sz w:val="26"/>
          <w:szCs w:val="26"/>
        </w:rPr>
        <w:t xml:space="preserve">13.3 Post-exit support</w:t>
      </w:r>
    </w:p>
    <w:p>
      <w:pPr>
        <w:spacing w:after="120" w:before="0"/>
      </w:pPr>
      <w:r>
        <w:t xml:space="preserve">If the Client requires post-exit support — for residual defect resolution, future enhancements or transition to a new SI — the Supplier provides this on the agreed unit rates from the MSA. The Supplier may not charge premium rates for post-exit handover support; this is a deliberate term to prevent vendor lock-in via punitive handover pricing.</w:t>
      </w:r>
    </w:p>
    <w:p>
      <w:r>
        <w:br w:type="page"/>
      </w:r>
    </w:p>
    <w:p>
      <w:pPr>
        <w:pStyle w:val="Heading1"/>
        <w:spacing w:after="180" w:before="360"/>
      </w:pPr>
      <w:r>
        <w:rPr>
          <w:b/>
          <w:bCs/>
          <w:color w:val="1F2A44"/>
          <w:sz w:val="32"/>
          <w:szCs w:val="32"/>
        </w:rPr>
        <w:t xml:space="preserve">14. Risks, Constraints and Assumptions</w:t>
      </w:r>
    </w:p>
    <w:p>
      <w:pPr>
        <w:pStyle w:val="Heading2"/>
        <w:spacing w:after="140" w:before="280"/>
      </w:pPr>
      <w:r>
        <w:rPr>
          <w:b/>
          <w:bCs/>
          <w:color w:val="1F2A44"/>
          <w:sz w:val="26"/>
          <w:szCs w:val="26"/>
        </w:rPr>
        <w:t xml:space="preserve">14.1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2500"/>
        <w:gridCol w:w="2426"/>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Risk</w:t>
            </w:r>
          </w:p>
        </w:tc>
        <w:tc>
          <w:tcPr>
            <w:tcW w:type="dxa" w:w="2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c>
          <w:tcPr>
            <w:tcW w:type="dxa" w:w="24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Mitigation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R1</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Build velocity below sprint plan, threatening S14 start</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Sprint reviews track velocity; CR raised early if slippage emerging; mid-S13 contingency reserved</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R2</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defects surface late, threatening SIT exit</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build prioritised in early sprints; integration testing starts in Stage 13 (smoke); SIT plan signed off in advance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R3</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Process Owners not available for UAT and BAT</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PO availability locked in advance for UAT/BAT periods; backup POs identified</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R4</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migration defects exceed reconciliation tolerance at Dry Run 2</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Two dry runs minimum; reconciliation criteria signed in advance; remediation plan with effort cap</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R5</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NFT failures push Go-Live</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NFT scenarios designed and reviewed early; environments NFT-capable from start of S14</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R6</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Hypercare exceeds planned duration, exhausting BAU support capacity</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Extension pricing pre-agreed; BAU support escalation path defined; Sponsor visibility on extension trigger</w:t>
            </w:r>
          </w:p>
        </w:tc>
      </w:tr>
    </w:tbl>
    <w:p>
      <w:pPr>
        <w:pStyle w:val="Heading2"/>
        <w:spacing w:after="140" w:before="280"/>
      </w:pPr>
      <w:r>
        <w:rPr>
          <w:b/>
          <w:bCs/>
          <w:color w:val="1F2A44"/>
          <w:sz w:val="26"/>
          <w:szCs w:val="26"/>
        </w:rPr>
        <w:t xml:space="preserve">14.2 Assumptions</w:t>
      </w:r>
    </w:p>
    <w:p>
      <w:pPr>
        <w:pStyle w:val="ListParagraph"/>
        <w:numPr>
          <w:ilvl w:val="0"/>
          <w:numId w:val="3"/>
        </w:numPr>
        <w:spacing w:after="80"/>
      </w:pPr>
      <w:r>
        <w:rPr>
          <w:sz w:val="22"/>
          <w:szCs w:val="22"/>
        </w:rPr>
        <w:t xml:space="preserve">Solution Design Document (SDD) from SOW 2 is signed and final before SOW 3 starts</w:t>
      </w:r>
    </w:p>
    <w:p>
      <w:pPr>
        <w:pStyle w:val="ListParagraph"/>
        <w:numPr>
          <w:ilvl w:val="0"/>
          <w:numId w:val="3"/>
        </w:numPr>
        <w:spacing w:after="80"/>
      </w:pPr>
      <w:r>
        <w:rPr>
          <w:sz w:val="22"/>
          <w:szCs w:val="22"/>
        </w:rPr>
        <w:t xml:space="preserve">Firm pricing in this SOW is based on the signed SDD; subsequent design changes are Change Requests</w:t>
      </w:r>
    </w:p>
    <w:p>
      <w:pPr>
        <w:pStyle w:val="ListParagraph"/>
        <w:numPr>
          <w:ilvl w:val="0"/>
          <w:numId w:val="3"/>
        </w:numPr>
        <w:spacing w:after="80"/>
      </w:pPr>
      <w:r>
        <w:rPr>
          <w:sz w:val="22"/>
          <w:szCs w:val="22"/>
        </w:rPr>
        <w:t>Client Process Owners, Client Test Manager, Cutover Lead, Hypercare Lead and Application Owner are confirmed and resourced before S13 starts</w:t>
      </w:r>
    </w:p>
    <w:p>
      <w:pPr>
        <w:pStyle w:val="ListParagraph"/>
        <w:numPr>
          <w:ilvl w:val="0"/>
          <w:numId w:val="3"/>
        </w:numPr>
        <w:spacing w:after="80"/>
      </w:pPr>
      <w:r>
        <w:rPr>
          <w:sz w:val="22"/>
          <w:szCs w:val="22"/>
        </w:rPr>
        <w:t xml:space="preserve">Client provides production-grade test data (obfuscated where required) for Dry Run 2 and BAT</w:t>
      </w:r>
    </w:p>
    <w:p>
      <w:pPr>
        <w:pStyle w:val="ListParagraph"/>
        <w:numPr>
          <w:ilvl w:val="0"/>
          <w:numId w:val="3"/>
        </w:numPr>
        <w:spacing w:after="80"/>
      </w:pPr>
      <w:r>
        <w:rPr>
          <w:sz w:val="22"/>
          <w:szCs w:val="22"/>
        </w:rPr>
        <w:t>Environments architected per SDD are provisioned and accessible from start of S13</w:t>
      </w:r>
    </w:p>
    <w:p>
      <w:pPr>
        <w:pStyle w:val="ListParagraph"/>
        <w:numPr>
          <w:ilvl w:val="0"/>
          <w:numId w:val="3"/>
        </w:numPr>
        <w:spacing w:after="80"/>
      </w:pPr>
      <w:r>
        <w:rPr>
          <w:sz w:val="22"/>
          <w:szCs w:val="22"/>
        </w:rPr>
        <w:t xml:space="preserve">Third-party suppliers required for SIT integration are engaged and committed to test schedule</w:t>
      </w:r>
    </w:p>
    <w:p>
      <w:pPr>
        <w:pStyle w:val="Heading2"/>
        <w:spacing w:after="140" w:before="280"/>
      </w:pPr>
      <w:r>
        <w:rPr>
          <w:b/>
          <w:bCs/>
          <w:color w:val="1F2A44"/>
          <w:sz w:val="26"/>
          <w:szCs w:val="26"/>
        </w:rPr>
        <w:t xml:space="preserve">14.3 Constraints</w:t>
      </w:r>
    </w:p>
    <w:p>
      <w:pPr>
        <w:pStyle w:val="ListParagraph"/>
        <w:numPr>
          <w:ilvl w:val="0"/>
          <w:numId w:val="3"/>
        </w:numPr>
        <w:spacing w:after="80"/>
      </w:pPr>
      <w:r>
        <w:rPr>
          <w:sz w:val="22"/>
          <w:szCs w:val="22"/>
        </w:rPr>
        <w:t>S13 build duration capped at firm-pricing assumption</w:t>
      </w:r>
    </w:p>
    <w:p>
      <w:pPr>
        <w:pStyle w:val="ListParagraph"/>
        <w:numPr>
          <w:ilvl w:val="0"/>
          <w:numId w:val="3"/>
        </w:numPr>
        <w:spacing w:after="80"/>
      </w:pPr>
      <w:r>
        <w:rPr>
          <w:sz w:val="22"/>
          <w:szCs w:val="22"/>
        </w:rPr>
        <w:t xml:space="preserve">Test cycles run sequentially in the order SAT → SIT → UAT → BAT, with NFT in parallel; this sequencing may not be compressed without Change Request</w:t>
      </w:r>
    </w:p>
    <w:p>
      <w:pPr>
        <w:pStyle w:val="ListParagraph"/>
        <w:numPr>
          <w:ilvl w:val="0"/>
          <w:numId w:val="3"/>
        </w:numPr>
        <w:spacing w:after="80"/>
      </w:pPr>
      <w:r>
        <w:rPr>
          <w:sz w:val="22"/>
          <w:szCs w:val="22"/>
        </w:rPr>
        <w:t>Go-Live date is an output of the plan, not an input; date is confirmed at end of S14 based on actual Test Exit progression</w:t>
      </w:r>
    </w:p>
    <w:p>
      <w:pPr>
        <w:pStyle w:val="ListParagraph"/>
        <w:numPr>
          <w:ilvl w:val="0"/>
          <w:numId w:val="3"/>
        </w:numPr>
        <w:spacing w:after="80"/>
      </w:pPr>
      <w:r>
        <w:rPr>
          <w:sz w:val="22"/>
          <w:szCs w:val="22"/>
        </w:rPr>
        <w:t xml:space="preserve">Hypercare duration is criteria-driven; no fixed end-date can be guaranteed</w:t>
      </w:r>
    </w:p>
    <w:p>
      <w:pPr>
        <w:pStyle w:val="Heading1"/>
        <w:spacing w:after="180" w:before="360"/>
      </w:pPr>
      <w:r>
        <w:rPr>
          <w:b/>
          <w:bCs/>
          <w:color w:val="1F2A44"/>
          <w:sz w:val="32"/>
          <w:szCs w:val="32"/>
        </w:rPr>
        <w:t xml:space="preserve">15. Termination</w:t>
      </w:r>
    </w:p>
    <w:p>
      <w:pPr>
        <w:spacing w:after="120" w:before="0"/>
      </w:pPr>
      <w:r>
        <w:t xml:space="preserve">Termination follows the MSA mechanism. Particular notes for SOW 3 given its scale and risk:</w:t>
      </w:r>
    </w:p>
    <w:p>
      <w:pPr>
        <w:pStyle w:val="ListParagraph"/>
        <w:numPr>
          <w:ilvl w:val="0"/>
          <w:numId w:val="3"/>
        </w:numPr>
        <w:spacing w:after="80"/>
      </w:pPr>
      <w:r>
        <w:rPr>
          <w:sz w:val="22"/>
          <w:szCs w:val="22"/>
        </w:rPr>
        <w:t xml:space="preserve">Termination for cause — either party may terminate for Material Breach following the cure period in the MSA</w:t>
      </w:r>
    </w:p>
    <w:p>
      <w:pPr>
        <w:pStyle w:val="ListParagraph"/>
        <w:numPr>
          <w:ilvl w:val="0"/>
          <w:numId w:val="3"/>
        </w:numPr>
        <w:spacing w:after="80"/>
      </w:pPr>
      <w:r>
        <w:rPr>
          <w:sz w:val="22"/>
          <w:szCs w:val="22"/>
        </w:rPr>
        <w:t xml:space="preserve">Termination for convenience by Client — 30 days' notice; Supplier paid for accepted milestones plus reasonable wind-down. Client retains right to use SDD with a different Supplier; original Supplier provides reasonable handover support at agreed unit rates</w:t>
      </w:r>
    </w:p>
    <w:p>
      <w:pPr>
        <w:pStyle w:val="ListParagraph"/>
        <w:numPr>
          <w:ilvl w:val="0"/>
          <w:numId w:val="3"/>
        </w:numPr>
        <w:spacing w:after="80"/>
      </w:pPr>
      <w:r>
        <w:rPr>
          <w:sz w:val="22"/>
          <w:szCs w:val="22"/>
        </w:rPr>
        <w:t xml:space="preserve">Termination for convenience by Supplier — not permitted during Stages 14–17 except in exceptional circumstances notified to and accepted by the Client. This protects the Client from mid-cutover SI withdrawal</w:t>
      </w:r>
    </w:p>
    <w:p>
      <w:pPr>
        <w:pStyle w:val="ListParagraph"/>
        <w:numPr>
          <w:ilvl w:val="0"/>
          <w:numId w:val="3"/>
        </w:numPr>
        <w:spacing w:after="80"/>
      </w:pPr>
      <w:r>
        <w:rPr>
          <w:sz w:val="22"/>
          <w:szCs w:val="22"/>
        </w:rPr>
        <w:t xml:space="preserve">Effect of termination — full handover of Foreground IP, data, in-progress work and KT materials within 10 business days at no additional charge</w:t>
      </w:r>
    </w:p>
    <w:p>
      <w:pPr>
        <w:pStyle w:val="Heading1"/>
        <w:spacing w:after="180" w:before="360"/>
      </w:pPr>
      <w:r>
        <w:rPr>
          <w:b/>
          <w:bCs/>
          <w:color w:val="1F2A44"/>
          <w:sz w:val="32"/>
          <w:szCs w:val="32"/>
        </w:rPr>
        <w:t xml:space="preserve">16. Schedules</w:t>
      </w:r>
    </w:p>
    <w:p>
      <w:pPr>
        <w:spacing w:after="120" w:before="0"/>
      </w:pPr>
      <w:r>
        <w:t xml:space="preserve">The following Schedules are appended to this SOW (placeholders for the engagement):</w:t>
      </w:r>
    </w:p>
    <w:p>
      <w:pPr>
        <w:pStyle w:val="ListParagraph"/>
        <w:numPr>
          <w:ilvl w:val="0"/>
          <w:numId w:val="3"/>
        </w:numPr>
        <w:spacing w:after="80"/>
      </w:pPr>
      <w:r>
        <w:rPr>
          <w:sz w:val="22"/>
          <w:szCs w:val="22"/>
        </w:rPr>
        <w:t xml:space="preserve">Schedule A — Detailed Scope by Stage (per-process-stream scope detail)</w:t>
      </w:r>
    </w:p>
    <w:p>
      <w:pPr>
        <w:pStyle w:val="ListParagraph"/>
        <w:numPr>
          <w:ilvl w:val="0"/>
          <w:numId w:val="3"/>
        </w:numPr>
        <w:spacing w:after="80"/>
      </w:pPr>
      <w:r>
        <w:rPr>
          <w:sz w:val="22"/>
          <w:szCs w:val="22"/>
        </w:rPr>
        <w:t xml:space="preserve">Schedule B — Detailed RACI per Deliverable</w:t>
      </w:r>
    </w:p>
    <w:p>
      <w:pPr>
        <w:pStyle w:val="ListParagraph"/>
        <w:numPr>
          <w:ilvl w:val="0"/>
          <w:numId w:val="3"/>
        </w:numPr>
        <w:spacing w:after="80"/>
      </w:pPr>
      <w:r>
        <w:rPr>
          <w:sz w:val="22"/>
          <w:szCs w:val="22"/>
        </w:rPr>
        <w:t xml:space="preserve">Schedule C — Pricing Breakdown by Role and Stage</w:t>
      </w:r>
    </w:p>
    <w:p>
      <w:pPr>
        <w:pStyle w:val="ListParagraph"/>
        <w:numPr>
          <w:ilvl w:val="0"/>
          <w:numId w:val="3"/>
        </w:numPr>
        <w:spacing w:after="80"/>
      </w:pPr>
      <w:r>
        <w:rPr>
          <w:sz w:val="22"/>
          <w:szCs w:val="22"/>
        </w:rPr>
        <w:t xml:space="preserve">Schedule D — Change Control SLA Detail</w:t>
      </w:r>
    </w:p>
    <w:p>
      <w:pPr>
        <w:pStyle w:val="ListParagraph"/>
        <w:numPr>
          <w:ilvl w:val="0"/>
          <w:numId w:val="3"/>
        </w:numPr>
        <w:spacing w:after="80"/>
      </w:pPr>
      <w:r>
        <w:rPr>
          <w:sz w:val="22"/>
          <w:szCs w:val="22"/>
        </w:rPr>
        <w:t xml:space="preserve">Schedule E — Test Exit Criteria Detail</w:t>
      </w:r>
    </w:p>
    <w:p>
      <w:pPr>
        <w:pStyle w:val="ListParagraph"/>
        <w:numPr>
          <w:ilvl w:val="0"/>
          <w:numId w:val="3"/>
        </w:numPr>
        <w:spacing w:after="80"/>
      </w:pPr>
      <w:r>
        <w:rPr>
          <w:sz w:val="22"/>
          <w:szCs w:val="22"/>
        </w:rPr>
        <w:t xml:space="preserve">Schedule F — Hypercare Exit Criteria Detail</w:t>
      </w:r>
    </w:p>
    <w:p>
      <w:pPr>
        <w:pStyle w:val="ListParagraph"/>
        <w:numPr>
          <w:ilvl w:val="0"/>
          <w:numId w:val="3"/>
        </w:numPr>
        <w:spacing w:after="80"/>
      </w:pPr>
      <w:r>
        <w:rPr>
          <w:sz w:val="22"/>
          <w:szCs w:val="22"/>
        </w:rPr>
        <w:t xml:space="preserve">Schedule G — SI Exit and Handover Terms</w:t>
      </w:r>
    </w:p>
    <w:p>
      <w:pPr>
        <w:pStyle w:val="ListParagraph"/>
        <w:numPr>
          <w:ilvl w:val="0"/>
          <w:numId w:val="3"/>
        </w:numPr>
        <w:spacing w:after="80"/>
      </w:pPr>
      <w:r>
        <w:rPr>
          <w:sz w:val="22"/>
          <w:szCs w:val="22"/>
        </w:rPr>
        <w:t xml:space="preserve">Schedule H — Named Personnel and Minimum Commitment Periods</w:t>
      </w:r>
    </w:p>
    <w:p>
      <w:pPr>
        <w:pStyle w:val="ListParagraph"/>
        <w:numPr>
          <w:ilvl w:val="0"/>
          <w:numId w:val="3"/>
        </w:numPr>
        <w:spacing w:after="80"/>
      </w:pPr>
      <w:r>
        <w:rPr>
          <w:sz w:val="22"/>
          <w:szCs w:val="22"/>
        </w:rPr>
        <w:t xml:space="preserve">Schedule I — Environments Specification</w:t>
      </w:r>
    </w:p>
    <w:p>
      <w:pPr>
        <w:pStyle w:val="Heading1"/>
        <w:spacing w:after="180" w:before="360"/>
      </w:pPr>
      <w:r>
        <w:rPr>
          <w:b/>
          <w:bCs/>
          <w:color w:val="1F2A44"/>
          <w:sz w:val="32"/>
          <w:szCs w:val="32"/>
        </w:rPr>
        <w:t xml:space="preserve">17. Signatures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Client</w:t>
            </w:r>
          </w:p>
        </w:tc>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Supplier</w:t>
            </w:r>
          </w:p>
        </w:tc>
      </w:tr>
      <w:tr>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r>
    </w:tbl>
    <w:p>
      <w:pPr>
        <w:spacing w:after="120" w:before="0"/>
      </w:pPr>
      <w:r>
        <w:t xml:space="preserve">Counter-signed by Client Procurement: ___________________________  Date: __________</w:t>
      </w:r>
    </w:p>
    <w:p>
      <w:pPr>
        <w:spacing w:after="120" w:before="0"/>
      </w:pPr>
      <w:r>
        <w:t xml:space="preserve">Counter-signed by Client Legal:           ___________________________  Date: __________</w:t>
      </w:r>
    </w:p>
    <w:sectPr>
      <w:headerReference w:type="default" r:id="rId7"/>
      <w:footerReference w:type="default" r:id="rId8"/>
      <w:headerReference w:type="first" r:id="rId10"/>
      <w:headerReference w:type="even" r:id="rId11"/>
      <w:footerReference w:type="first" r:id="rId12"/>
      <w:footerReference w:type="even" r:id="rId13"/>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 xml:space="preserve">ERP Method · SOW 3 — Build, Test, Deploy, Hypercare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2026-04-30T13:08:22.366Z</dcterms:created>
  <dcterms:modified xsi:type="dcterms:W3CDTF">2026-04-30T13:08:22.367Z</dcterms:modified>
</cp:coreProperties>
</file>

<file path=docProps/custom.xml><?xml version="1.0" encoding="utf-8"?>
<Properties xmlns="http://schemas.openxmlformats.org/officeDocument/2006/custom-properties" xmlns:vt="http://schemas.openxmlformats.org/officeDocument/2006/docPropsVTypes"/>
</file>